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C0A4C" w14:textId="6F98FD4C" w:rsidR="00A70914" w:rsidRPr="000F2311" w:rsidRDefault="00A70914" w:rsidP="00A70914">
      <w:pPr>
        <w:jc w:val="both"/>
        <w:rPr>
          <w:b/>
          <w:bCs/>
          <w:sz w:val="22"/>
          <w:szCs w:val="22"/>
          <w:u w:val="single"/>
        </w:rPr>
      </w:pPr>
      <w:r w:rsidRPr="000F2311">
        <w:rPr>
          <w:sz w:val="22"/>
          <w:szCs w:val="22"/>
          <w:u w:val="single"/>
        </w:rPr>
        <w:t>NSF Standard(s) Impacted</w:t>
      </w:r>
      <w:r w:rsidRPr="000F2311">
        <w:rPr>
          <w:b/>
          <w:bCs/>
          <w:sz w:val="22"/>
          <w:szCs w:val="22"/>
        </w:rPr>
        <w:t>:</w:t>
      </w:r>
      <w:r w:rsidR="001D758D">
        <w:rPr>
          <w:b/>
          <w:bCs/>
          <w:sz w:val="22"/>
          <w:szCs w:val="22"/>
        </w:rPr>
        <w:t xml:space="preserve">  NSF/ANSI Standard 49</w:t>
      </w:r>
    </w:p>
    <w:p w14:paraId="34D3F780" w14:textId="77777777" w:rsidR="00A70914" w:rsidRPr="000F2311" w:rsidRDefault="00A70914" w:rsidP="00A70914">
      <w:pPr>
        <w:jc w:val="both"/>
        <w:rPr>
          <w:sz w:val="24"/>
        </w:rPr>
      </w:pPr>
    </w:p>
    <w:p w14:paraId="42CAC6F0" w14:textId="77777777" w:rsidR="00A70914" w:rsidRPr="000F2311" w:rsidRDefault="00A70914" w:rsidP="00A70914">
      <w:pPr>
        <w:jc w:val="both"/>
        <w:rPr>
          <w:sz w:val="22"/>
          <w:szCs w:val="22"/>
          <w:u w:val="single"/>
        </w:rPr>
      </w:pPr>
      <w:r w:rsidRPr="000F2311">
        <w:rPr>
          <w:sz w:val="22"/>
          <w:szCs w:val="22"/>
          <w:u w:val="single"/>
        </w:rPr>
        <w:t>Background:</w:t>
      </w:r>
    </w:p>
    <w:p w14:paraId="783EAC11" w14:textId="77777777" w:rsidR="00A70914" w:rsidRPr="000F2311" w:rsidRDefault="00A70914" w:rsidP="00A70914">
      <w:pPr>
        <w:keepNext/>
        <w:jc w:val="both"/>
        <w:outlineLvl w:val="2"/>
        <w:rPr>
          <w:i/>
          <w:iCs/>
          <w:szCs w:val="20"/>
        </w:rPr>
      </w:pPr>
      <w:r w:rsidRPr="000F2311">
        <w:rPr>
          <w:i/>
          <w:iCs/>
        </w:rPr>
        <w:t>Provide a brief background statement indicating the cause and nature of concern, the impacts identified relevant to public health, public understanding, etc, and any other reason why the issue should be considered by the Committee. Reference as appropriate any specific section(s) of the standard(s) that are related to the issue.</w:t>
      </w:r>
    </w:p>
    <w:p w14:paraId="175C01F0" w14:textId="197EBD37" w:rsidR="00A70914" w:rsidRDefault="00A70914" w:rsidP="00A70914">
      <w:pPr>
        <w:jc w:val="both"/>
        <w:rPr>
          <w:szCs w:val="20"/>
        </w:rPr>
      </w:pPr>
    </w:p>
    <w:p w14:paraId="1129FC26" w14:textId="20D2560E" w:rsidR="00A70914" w:rsidRDefault="00C5622C" w:rsidP="00A70914">
      <w:pPr>
        <w:jc w:val="both"/>
        <w:rPr>
          <w:szCs w:val="20"/>
        </w:rPr>
      </w:pPr>
      <w:r>
        <w:rPr>
          <w:szCs w:val="20"/>
        </w:rPr>
        <w:t>Based on discussion during the 4/10/23 Secondary Method Task Group call, new language is proposed for the standard.</w:t>
      </w:r>
      <w:r w:rsidR="00586C5D">
        <w:rPr>
          <w:szCs w:val="20"/>
        </w:rPr>
        <w:t xml:space="preserve">  The ballot language proposed below attempts to capture the sentiment during the call.</w:t>
      </w:r>
    </w:p>
    <w:p w14:paraId="7A614B64" w14:textId="77777777" w:rsidR="00C5622C" w:rsidRPr="000F2311" w:rsidRDefault="00C5622C" w:rsidP="00A70914">
      <w:pPr>
        <w:jc w:val="both"/>
        <w:rPr>
          <w:szCs w:val="20"/>
        </w:rPr>
      </w:pPr>
    </w:p>
    <w:p w14:paraId="12BAE7B1" w14:textId="77777777" w:rsidR="00A70914" w:rsidRPr="000F2311" w:rsidRDefault="00A70914" w:rsidP="00A70914">
      <w:pPr>
        <w:jc w:val="both"/>
        <w:rPr>
          <w:sz w:val="22"/>
          <w:szCs w:val="22"/>
        </w:rPr>
      </w:pPr>
      <w:r w:rsidRPr="000F2311">
        <w:rPr>
          <w:sz w:val="22"/>
          <w:szCs w:val="22"/>
          <w:u w:val="single"/>
        </w:rPr>
        <w:t>Recommendation:</w:t>
      </w:r>
    </w:p>
    <w:p w14:paraId="27573962" w14:textId="77777777" w:rsidR="00A70914" w:rsidRPr="000F2311" w:rsidRDefault="00A70914" w:rsidP="00A70914">
      <w:pPr>
        <w:jc w:val="both"/>
        <w:rPr>
          <w:szCs w:val="20"/>
        </w:rPr>
      </w:pPr>
      <w:r w:rsidRPr="000F2311">
        <w:rPr>
          <w:i/>
          <w:iCs/>
        </w:rPr>
        <w:t xml:space="preserve">Clearly state what action is needed: e.g., recommended changes to the standard(s) including the current text of the relevant section(s) indicating deletions by use of </w:t>
      </w:r>
      <w:r w:rsidRPr="000F2311">
        <w:rPr>
          <w:i/>
          <w:iCs/>
          <w:strike/>
        </w:rPr>
        <w:t>strike-out</w:t>
      </w:r>
      <w:r w:rsidRPr="000F2311">
        <w:rPr>
          <w:i/>
          <w:iCs/>
        </w:rPr>
        <w:t xml:space="preserve"> and additions by </w:t>
      </w:r>
      <w:r w:rsidRPr="000F2311">
        <w:rPr>
          <w:i/>
          <w:iCs/>
          <w:highlight w:val="lightGray"/>
        </w:rPr>
        <w:t>highlighting</w:t>
      </w:r>
      <w:r w:rsidRPr="000F2311">
        <w:rPr>
          <w:i/>
          <w:iCs/>
        </w:rPr>
        <w:t xml:space="preserve"> or </w:t>
      </w:r>
      <w:r w:rsidRPr="000F2311">
        <w:rPr>
          <w:i/>
          <w:iCs/>
          <w:u w:val="single"/>
        </w:rPr>
        <w:t>underlining</w:t>
      </w:r>
      <w:r w:rsidRPr="000F2311">
        <w:rPr>
          <w:i/>
          <w:iCs/>
        </w:rPr>
        <w:t>; e.g., reference of the issue to a Task Group for detailed consideration; etc</w:t>
      </w:r>
      <w:r w:rsidRPr="000F2311">
        <w:rPr>
          <w:i/>
          <w:iCs/>
          <w:szCs w:val="20"/>
        </w:rPr>
        <w:t xml:space="preserve">.  </w:t>
      </w:r>
    </w:p>
    <w:p w14:paraId="58413466" w14:textId="6ED3938C" w:rsidR="00A70914" w:rsidRDefault="00A70914" w:rsidP="00A70914">
      <w:pPr>
        <w:jc w:val="both"/>
        <w:rPr>
          <w:szCs w:val="20"/>
        </w:rPr>
      </w:pPr>
    </w:p>
    <w:p w14:paraId="45D04C7B" w14:textId="5932A553" w:rsidR="00DB3B37" w:rsidRDefault="00C5622C" w:rsidP="00A70914">
      <w:pPr>
        <w:jc w:val="both"/>
        <w:rPr>
          <w:szCs w:val="20"/>
        </w:rPr>
      </w:pPr>
      <w:r>
        <w:rPr>
          <w:szCs w:val="20"/>
        </w:rPr>
        <w:t>Ballot the following language within the task group:</w:t>
      </w:r>
    </w:p>
    <w:p w14:paraId="557168B9" w14:textId="714E4A5F" w:rsidR="00DB3B37" w:rsidRDefault="00DB3B37" w:rsidP="00D75074">
      <w:pPr>
        <w:tabs>
          <w:tab w:val="left" w:pos="720"/>
        </w:tabs>
        <w:jc w:val="both"/>
        <w:rPr>
          <w:szCs w:val="20"/>
        </w:rPr>
      </w:pPr>
    </w:p>
    <w:p w14:paraId="05E4C9A4" w14:textId="77777777" w:rsidR="007C519A" w:rsidRPr="00244690" w:rsidRDefault="007C519A" w:rsidP="007C519A">
      <w:pPr>
        <w:tabs>
          <w:tab w:val="left" w:pos="720"/>
        </w:tabs>
        <w:jc w:val="both"/>
        <w:rPr>
          <w:b/>
          <w:bCs/>
          <w:sz w:val="24"/>
        </w:rPr>
      </w:pPr>
      <w:r w:rsidRPr="00244690">
        <w:rPr>
          <w:b/>
          <w:bCs/>
          <w:sz w:val="24"/>
        </w:rPr>
        <w:t>3</w:t>
      </w:r>
      <w:r w:rsidRPr="00244690">
        <w:rPr>
          <w:b/>
          <w:bCs/>
          <w:sz w:val="24"/>
        </w:rPr>
        <w:tab/>
      </w:r>
      <w:r w:rsidRPr="00244690">
        <w:rPr>
          <w:b/>
          <w:bCs/>
          <w:sz w:val="24"/>
        </w:rPr>
        <w:tab/>
        <w:t>Definitions</w:t>
      </w:r>
    </w:p>
    <w:p w14:paraId="3F2DACFE" w14:textId="77777777" w:rsidR="00244690" w:rsidRPr="003970AC" w:rsidRDefault="00244690" w:rsidP="00244690">
      <w:pPr>
        <w:tabs>
          <w:tab w:val="left" w:pos="720"/>
        </w:tabs>
        <w:jc w:val="both"/>
        <w:rPr>
          <w:szCs w:val="20"/>
        </w:rPr>
      </w:pPr>
    </w:p>
    <w:p w14:paraId="56526A02" w14:textId="77777777" w:rsidR="00244690" w:rsidRDefault="00244690" w:rsidP="00244690">
      <w:pPr>
        <w:pStyle w:val="ListParagraph"/>
        <w:numPr>
          <w:ilvl w:val="0"/>
          <w:numId w:val="45"/>
        </w:numPr>
        <w:jc w:val="both"/>
        <w:rPr>
          <w:b/>
        </w:rPr>
      </w:pPr>
    </w:p>
    <w:p w14:paraId="32B9B17C" w14:textId="77777777" w:rsidR="00244690" w:rsidRDefault="00244690" w:rsidP="00244690">
      <w:pPr>
        <w:pStyle w:val="ListParagraph"/>
        <w:numPr>
          <w:ilvl w:val="0"/>
          <w:numId w:val="45"/>
        </w:numPr>
        <w:jc w:val="both"/>
        <w:rPr>
          <w:b/>
        </w:rPr>
      </w:pPr>
      <w:r>
        <w:rPr>
          <w:b/>
        </w:rPr>
        <w:t xml:space="preserve"> </w:t>
      </w:r>
    </w:p>
    <w:p w14:paraId="18DAA4F6" w14:textId="77777777" w:rsidR="00244690" w:rsidRDefault="00244690" w:rsidP="00244690">
      <w:pPr>
        <w:pStyle w:val="ListParagraph"/>
        <w:numPr>
          <w:ilvl w:val="0"/>
          <w:numId w:val="45"/>
        </w:numPr>
        <w:jc w:val="both"/>
        <w:rPr>
          <w:b/>
        </w:rPr>
      </w:pPr>
      <w:r>
        <w:rPr>
          <w:b/>
        </w:rPr>
        <w:t xml:space="preserve"> </w:t>
      </w:r>
    </w:p>
    <w:p w14:paraId="35183D5E" w14:textId="77777777" w:rsidR="007C519A" w:rsidRPr="007C519A" w:rsidRDefault="007C519A" w:rsidP="007C519A">
      <w:pPr>
        <w:tabs>
          <w:tab w:val="left" w:pos="720"/>
        </w:tabs>
        <w:jc w:val="both"/>
        <w:rPr>
          <w:b/>
          <w:bCs/>
          <w:szCs w:val="20"/>
        </w:rPr>
      </w:pPr>
    </w:p>
    <w:p w14:paraId="2F3C6FC8" w14:textId="1516EC7F" w:rsidR="00C5622C" w:rsidRDefault="007C519A" w:rsidP="00244690">
      <w:pPr>
        <w:tabs>
          <w:tab w:val="left" w:pos="720"/>
        </w:tabs>
        <w:jc w:val="both"/>
        <w:rPr>
          <w:rFonts w:ascii="Calibri" w:hAnsi="Calibri"/>
          <w:szCs w:val="22"/>
        </w:rPr>
      </w:pPr>
      <w:r w:rsidRPr="007C519A">
        <w:rPr>
          <w:b/>
          <w:bCs/>
          <w:szCs w:val="20"/>
        </w:rPr>
        <w:t>3.</w:t>
      </w:r>
      <w:r w:rsidR="00244690">
        <w:rPr>
          <w:b/>
          <w:bCs/>
          <w:szCs w:val="20"/>
        </w:rPr>
        <w:t>xx</w:t>
      </w:r>
      <w:r w:rsidRPr="007C519A">
        <w:rPr>
          <w:b/>
          <w:bCs/>
          <w:szCs w:val="20"/>
        </w:rPr>
        <w:tab/>
      </w:r>
      <w:r w:rsidRPr="007C519A">
        <w:rPr>
          <w:b/>
          <w:bCs/>
          <w:szCs w:val="20"/>
        </w:rPr>
        <w:tab/>
      </w:r>
      <w:r w:rsidR="00C5622C">
        <w:rPr>
          <w:b/>
          <w:bCs/>
        </w:rPr>
        <w:t>Inflow velocity data set:</w:t>
      </w:r>
      <w:r w:rsidR="00C5622C">
        <w:t>  An inflow velocity data set is generated when there is both a primary method measurement and secondary method measurement completed on the same day by the same test technician on the same biosafety cabinet.</w:t>
      </w:r>
    </w:p>
    <w:p w14:paraId="7448CE5E" w14:textId="77777777" w:rsidR="00244690" w:rsidRPr="003970AC" w:rsidRDefault="00244690" w:rsidP="00244690">
      <w:pPr>
        <w:tabs>
          <w:tab w:val="left" w:pos="720"/>
        </w:tabs>
        <w:jc w:val="both"/>
        <w:rPr>
          <w:szCs w:val="20"/>
        </w:rPr>
      </w:pPr>
    </w:p>
    <w:p w14:paraId="2821D4AD" w14:textId="77777777" w:rsidR="00244690" w:rsidRDefault="00244690" w:rsidP="00244690">
      <w:pPr>
        <w:pStyle w:val="ListParagraph"/>
        <w:numPr>
          <w:ilvl w:val="0"/>
          <w:numId w:val="45"/>
        </w:numPr>
        <w:jc w:val="both"/>
        <w:rPr>
          <w:b/>
        </w:rPr>
      </w:pPr>
    </w:p>
    <w:p w14:paraId="34E8B34F" w14:textId="77777777" w:rsidR="00244690" w:rsidRDefault="00244690" w:rsidP="00244690">
      <w:pPr>
        <w:pStyle w:val="ListParagraph"/>
        <w:numPr>
          <w:ilvl w:val="0"/>
          <w:numId w:val="45"/>
        </w:numPr>
        <w:jc w:val="both"/>
        <w:rPr>
          <w:b/>
        </w:rPr>
      </w:pPr>
      <w:r>
        <w:rPr>
          <w:b/>
        </w:rPr>
        <w:t xml:space="preserve"> </w:t>
      </w:r>
    </w:p>
    <w:p w14:paraId="5E33BBF5" w14:textId="77777777" w:rsidR="00244690" w:rsidRDefault="00244690" w:rsidP="00244690">
      <w:pPr>
        <w:pStyle w:val="ListParagraph"/>
        <w:numPr>
          <w:ilvl w:val="0"/>
          <w:numId w:val="45"/>
        </w:numPr>
        <w:jc w:val="both"/>
        <w:rPr>
          <w:b/>
        </w:rPr>
      </w:pPr>
      <w:r>
        <w:rPr>
          <w:b/>
        </w:rPr>
        <w:t xml:space="preserve"> </w:t>
      </w:r>
    </w:p>
    <w:p w14:paraId="1979ED96" w14:textId="77777777" w:rsidR="00C5622C" w:rsidRDefault="00C5622C" w:rsidP="00D75074">
      <w:pPr>
        <w:tabs>
          <w:tab w:val="left" w:pos="720"/>
        </w:tabs>
        <w:jc w:val="both"/>
        <w:rPr>
          <w:szCs w:val="20"/>
        </w:rPr>
      </w:pPr>
    </w:p>
    <w:p w14:paraId="3CA79054" w14:textId="77777777" w:rsidR="00C5622C" w:rsidRPr="00C5622C" w:rsidRDefault="00C5622C" w:rsidP="00C5622C">
      <w:pPr>
        <w:tabs>
          <w:tab w:val="left" w:pos="720"/>
        </w:tabs>
        <w:jc w:val="both"/>
        <w:rPr>
          <w:b/>
          <w:bCs/>
          <w:szCs w:val="20"/>
        </w:rPr>
      </w:pPr>
      <w:bookmarkStart w:id="0" w:name="_Hlk132120787"/>
      <w:r w:rsidRPr="00C5622C">
        <w:rPr>
          <w:b/>
          <w:bCs/>
          <w:szCs w:val="20"/>
        </w:rPr>
        <w:t>N-1.9.3.4</w:t>
      </w:r>
      <w:r w:rsidRPr="00C5622C">
        <w:rPr>
          <w:b/>
          <w:bCs/>
          <w:szCs w:val="20"/>
        </w:rPr>
        <w:tab/>
      </w:r>
      <w:r w:rsidRPr="00C5622C">
        <w:rPr>
          <w:b/>
          <w:bCs/>
          <w:szCs w:val="20"/>
        </w:rPr>
        <w:tab/>
        <w:t>Alternate inflow measurement method</w:t>
      </w:r>
      <w:bookmarkEnd w:id="0"/>
      <w:r w:rsidRPr="00C5622C">
        <w:rPr>
          <w:b/>
          <w:bCs/>
          <w:szCs w:val="20"/>
        </w:rPr>
        <w:t>s</w:t>
      </w:r>
    </w:p>
    <w:p w14:paraId="0358AB14" w14:textId="77777777" w:rsidR="00C5622C" w:rsidRPr="00C5622C" w:rsidRDefault="00C5622C" w:rsidP="00C5622C">
      <w:pPr>
        <w:tabs>
          <w:tab w:val="left" w:pos="720"/>
        </w:tabs>
        <w:jc w:val="both"/>
        <w:rPr>
          <w:szCs w:val="20"/>
        </w:rPr>
      </w:pPr>
    </w:p>
    <w:p w14:paraId="3C488E63" w14:textId="183C9045" w:rsidR="00C5622C" w:rsidRDefault="00C5622C" w:rsidP="00C5622C">
      <w:pPr>
        <w:tabs>
          <w:tab w:val="left" w:pos="720"/>
        </w:tabs>
        <w:jc w:val="both"/>
        <w:rPr>
          <w:szCs w:val="20"/>
        </w:rPr>
      </w:pPr>
      <w:r w:rsidRPr="00C5622C">
        <w:rPr>
          <w:szCs w:val="20"/>
        </w:rPr>
        <w:t>These methods</w:t>
      </w:r>
      <w:r w:rsidRPr="00244690">
        <w:rPr>
          <w:strike/>
          <w:szCs w:val="20"/>
        </w:rPr>
        <w:t>, approved by the testing organization, shall</w:t>
      </w:r>
      <w:r w:rsidRPr="00C5622C">
        <w:rPr>
          <w:szCs w:val="20"/>
        </w:rPr>
        <w:t xml:space="preserve"> </w:t>
      </w:r>
      <w:r w:rsidR="00244690" w:rsidRPr="00244690">
        <w:rPr>
          <w:szCs w:val="20"/>
          <w:highlight w:val="lightGray"/>
        </w:rPr>
        <w:t>may</w:t>
      </w:r>
      <w:r w:rsidR="00244690">
        <w:rPr>
          <w:szCs w:val="20"/>
        </w:rPr>
        <w:t xml:space="preserve"> </w:t>
      </w:r>
      <w:r w:rsidRPr="00C5622C">
        <w:rPr>
          <w:szCs w:val="20"/>
        </w:rPr>
        <w:t xml:space="preserve">be </w:t>
      </w:r>
      <w:r w:rsidRPr="00244690">
        <w:rPr>
          <w:strike/>
          <w:szCs w:val="20"/>
        </w:rPr>
        <w:t>validated and</w:t>
      </w:r>
      <w:r w:rsidRPr="00C5622C">
        <w:rPr>
          <w:szCs w:val="20"/>
        </w:rPr>
        <w:t xml:space="preserve"> provided by the manufacturer </w:t>
      </w:r>
      <w:r w:rsidRPr="00244690">
        <w:rPr>
          <w:strike/>
          <w:szCs w:val="20"/>
        </w:rPr>
        <w:t>and shall be subject to review by the testing organization</w:t>
      </w:r>
      <w:r w:rsidRPr="00C5622C">
        <w:rPr>
          <w:szCs w:val="20"/>
        </w:rPr>
        <w:t xml:space="preserve">. </w:t>
      </w:r>
      <w:r w:rsidRPr="00244690">
        <w:rPr>
          <w:strike/>
          <w:szCs w:val="20"/>
        </w:rPr>
        <w:t>Manufacturer validation procedures shall contain no fewer than ten replicate tests. The testing organization's approval shall be based on review of data and successful reproduction of test results.</w:t>
      </w:r>
      <w:r w:rsidRPr="00C5622C">
        <w:rPr>
          <w:szCs w:val="20"/>
        </w:rPr>
        <w:t xml:space="preserve"> </w:t>
      </w:r>
      <w:r w:rsidR="00244690" w:rsidRPr="00244690">
        <w:rPr>
          <w:szCs w:val="20"/>
          <w:highlight w:val="lightGray"/>
        </w:rPr>
        <w:t>When an alternate inflow measurement method is provided, it shall be validated by the testing organization.</w:t>
      </w:r>
      <w:r w:rsidR="00244690">
        <w:rPr>
          <w:szCs w:val="20"/>
        </w:rPr>
        <w:t xml:space="preserve">  </w:t>
      </w:r>
      <w:r w:rsidRPr="00C5622C">
        <w:rPr>
          <w:szCs w:val="20"/>
        </w:rPr>
        <w:t>The following methods have been found to be acceptable on some cabinets:</w:t>
      </w:r>
    </w:p>
    <w:p w14:paraId="584440CF" w14:textId="77777777" w:rsidR="003970AC" w:rsidRPr="003970AC" w:rsidRDefault="003970AC" w:rsidP="003970AC">
      <w:pPr>
        <w:tabs>
          <w:tab w:val="left" w:pos="720"/>
        </w:tabs>
        <w:jc w:val="both"/>
        <w:rPr>
          <w:szCs w:val="20"/>
        </w:rPr>
      </w:pPr>
      <w:bookmarkStart w:id="1" w:name="_Hlk132119844"/>
      <w:bookmarkStart w:id="2" w:name="_Hlk132201052"/>
    </w:p>
    <w:p w14:paraId="4D5086C7" w14:textId="77777777" w:rsidR="003970AC" w:rsidRDefault="003970AC" w:rsidP="003970AC">
      <w:pPr>
        <w:pStyle w:val="ListParagraph"/>
        <w:numPr>
          <w:ilvl w:val="0"/>
          <w:numId w:val="45"/>
        </w:numPr>
        <w:jc w:val="both"/>
        <w:rPr>
          <w:b/>
        </w:rPr>
      </w:pPr>
      <w:bookmarkStart w:id="3" w:name="_Hlk130377278"/>
      <w:bookmarkStart w:id="4" w:name="_Hlk132201144"/>
    </w:p>
    <w:p w14:paraId="254F4CA6" w14:textId="77777777" w:rsidR="003970AC" w:rsidRDefault="003970AC" w:rsidP="003970AC">
      <w:pPr>
        <w:pStyle w:val="ListParagraph"/>
        <w:numPr>
          <w:ilvl w:val="0"/>
          <w:numId w:val="45"/>
        </w:numPr>
        <w:jc w:val="both"/>
        <w:rPr>
          <w:b/>
        </w:rPr>
      </w:pPr>
      <w:r>
        <w:rPr>
          <w:b/>
        </w:rPr>
        <w:t xml:space="preserve"> </w:t>
      </w:r>
    </w:p>
    <w:p w14:paraId="6E3C334D" w14:textId="77777777" w:rsidR="003970AC" w:rsidRDefault="003970AC" w:rsidP="003970AC">
      <w:pPr>
        <w:pStyle w:val="ListParagraph"/>
        <w:numPr>
          <w:ilvl w:val="0"/>
          <w:numId w:val="45"/>
        </w:numPr>
        <w:jc w:val="both"/>
        <w:rPr>
          <w:b/>
        </w:rPr>
      </w:pPr>
      <w:r>
        <w:rPr>
          <w:b/>
        </w:rPr>
        <w:t xml:space="preserve"> </w:t>
      </w:r>
    </w:p>
    <w:bookmarkEnd w:id="3"/>
    <w:p w14:paraId="1688F741" w14:textId="7506746D" w:rsidR="003970AC" w:rsidRDefault="003970AC" w:rsidP="003970AC">
      <w:pPr>
        <w:jc w:val="both"/>
        <w:rPr>
          <w:b/>
        </w:rPr>
      </w:pPr>
    </w:p>
    <w:bookmarkEnd w:id="2"/>
    <w:bookmarkEnd w:id="4"/>
    <w:p w14:paraId="13AD6B7E" w14:textId="64D661BB" w:rsidR="003B2174" w:rsidRPr="00260660" w:rsidRDefault="003B2174" w:rsidP="003970AC">
      <w:pPr>
        <w:jc w:val="both"/>
        <w:rPr>
          <w:b/>
          <w:bCs/>
          <w:highlight w:val="lightGray"/>
        </w:rPr>
      </w:pPr>
      <w:r w:rsidRPr="00260660">
        <w:rPr>
          <w:b/>
          <w:bCs/>
          <w:highlight w:val="lightGray"/>
        </w:rPr>
        <w:t>N-1.9.3.5</w:t>
      </w:r>
      <w:r w:rsidRPr="00260660">
        <w:rPr>
          <w:b/>
          <w:bCs/>
          <w:highlight w:val="lightGray"/>
        </w:rPr>
        <w:tab/>
      </w:r>
      <w:r w:rsidRPr="00260660">
        <w:rPr>
          <w:b/>
          <w:bCs/>
          <w:highlight w:val="lightGray"/>
        </w:rPr>
        <w:tab/>
        <w:t>Alternate inflow measurement method validation</w:t>
      </w:r>
    </w:p>
    <w:p w14:paraId="534075AB" w14:textId="6AEF0BAB" w:rsidR="003B2174" w:rsidRPr="00260660" w:rsidRDefault="003B2174" w:rsidP="003970AC">
      <w:pPr>
        <w:jc w:val="both"/>
        <w:rPr>
          <w:b/>
          <w:bCs/>
          <w:highlight w:val="lightGray"/>
        </w:rPr>
      </w:pPr>
    </w:p>
    <w:p w14:paraId="6F9F8432" w14:textId="7CDD35FB" w:rsidR="003B2174" w:rsidRPr="00260660" w:rsidRDefault="003B2174" w:rsidP="003970AC">
      <w:pPr>
        <w:jc w:val="both"/>
        <w:rPr>
          <w:highlight w:val="lightGray"/>
        </w:rPr>
      </w:pPr>
      <w:r w:rsidRPr="00260660">
        <w:rPr>
          <w:highlight w:val="lightGray"/>
        </w:rPr>
        <w:t xml:space="preserve">When a manufacturer provides an alternate inflow measurement method, validation shall be completed by the </w:t>
      </w:r>
      <w:r w:rsidR="00F97884" w:rsidRPr="00260660">
        <w:rPr>
          <w:highlight w:val="lightGray"/>
        </w:rPr>
        <w:t>testing organization.  Validation is completed according to the requirements in this section.</w:t>
      </w:r>
    </w:p>
    <w:p w14:paraId="4D6CD64B" w14:textId="6365DBAD" w:rsidR="00F97884" w:rsidRPr="00260660" w:rsidRDefault="00F97884" w:rsidP="003970AC">
      <w:pPr>
        <w:jc w:val="both"/>
        <w:rPr>
          <w:highlight w:val="lightGray"/>
        </w:rPr>
      </w:pPr>
    </w:p>
    <w:p w14:paraId="0C8726BB" w14:textId="704F5C3F" w:rsidR="00F97884" w:rsidRPr="00260660" w:rsidRDefault="00F97884" w:rsidP="00F97884">
      <w:pPr>
        <w:jc w:val="both"/>
        <w:rPr>
          <w:highlight w:val="lightGray"/>
        </w:rPr>
      </w:pPr>
      <w:r w:rsidRPr="00F97884">
        <w:rPr>
          <w:highlight w:val="lightGray"/>
        </w:rPr>
        <w:lastRenderedPageBreak/>
        <w:t>The manufacturer shall submit a minimum of 10 inflow velocity data sets.  No more than 40 percent of the inflow velocity data sets shall be generated on a single BSC.  In other words, there shall be at least 3 unique serial numbers for the different BSC’s used to generate the data.  A minimum of 3 different trained test technicians shall be used to generate the data and each test technician shall not be responsible for generating more than 40 percent of the data submitted.  The BSC’s shall be balanced within listed ranges for inflow</w:t>
      </w:r>
      <w:r w:rsidRPr="00260660">
        <w:rPr>
          <w:highlight w:val="lightGray"/>
        </w:rPr>
        <w:t xml:space="preserve"> (primary method)</w:t>
      </w:r>
      <w:r w:rsidRPr="00F97884">
        <w:rPr>
          <w:highlight w:val="lightGray"/>
        </w:rPr>
        <w:t xml:space="preserve"> and downflow velocity.  Each inflow velocity data set shall include the following information:</w:t>
      </w:r>
    </w:p>
    <w:p w14:paraId="2F92D2E6" w14:textId="77777777" w:rsidR="00F97884" w:rsidRPr="00F97884" w:rsidRDefault="00F97884" w:rsidP="00F97884">
      <w:pPr>
        <w:jc w:val="both"/>
        <w:rPr>
          <w:highlight w:val="lightGray"/>
        </w:rPr>
      </w:pPr>
    </w:p>
    <w:p w14:paraId="37E5962C" w14:textId="5D25EECD" w:rsidR="00F97884" w:rsidRPr="00260660" w:rsidRDefault="00F97884" w:rsidP="00F97884">
      <w:pPr>
        <w:pStyle w:val="ListParagraph"/>
        <w:numPr>
          <w:ilvl w:val="0"/>
          <w:numId w:val="49"/>
        </w:numPr>
        <w:jc w:val="both"/>
        <w:rPr>
          <w:highlight w:val="lightGray"/>
        </w:rPr>
      </w:pPr>
      <w:r w:rsidRPr="00260660">
        <w:rPr>
          <w:highlight w:val="lightGray"/>
        </w:rPr>
        <w:t>Cabinet model number and serial number</w:t>
      </w:r>
    </w:p>
    <w:p w14:paraId="7DBEDF56" w14:textId="687A73E2" w:rsidR="00F97884" w:rsidRPr="00260660" w:rsidRDefault="00F97884" w:rsidP="00F97884">
      <w:pPr>
        <w:pStyle w:val="ListParagraph"/>
        <w:numPr>
          <w:ilvl w:val="0"/>
          <w:numId w:val="49"/>
        </w:numPr>
        <w:jc w:val="both"/>
        <w:rPr>
          <w:highlight w:val="lightGray"/>
        </w:rPr>
      </w:pPr>
      <w:r w:rsidRPr="00260660">
        <w:rPr>
          <w:highlight w:val="lightGray"/>
        </w:rPr>
        <w:t>Name of test technician</w:t>
      </w:r>
    </w:p>
    <w:p w14:paraId="1E8ADFC7" w14:textId="503316E9" w:rsidR="00F97884" w:rsidRPr="00260660" w:rsidRDefault="00F97884" w:rsidP="00F97884">
      <w:pPr>
        <w:pStyle w:val="ListParagraph"/>
        <w:numPr>
          <w:ilvl w:val="0"/>
          <w:numId w:val="49"/>
        </w:numPr>
        <w:jc w:val="both"/>
        <w:rPr>
          <w:highlight w:val="lightGray"/>
        </w:rPr>
      </w:pPr>
      <w:r w:rsidRPr="00260660">
        <w:rPr>
          <w:highlight w:val="lightGray"/>
        </w:rPr>
        <w:t>Date of testing</w:t>
      </w:r>
    </w:p>
    <w:p w14:paraId="50B7A0BF" w14:textId="664E9E32" w:rsidR="00F97884" w:rsidRPr="00260660" w:rsidRDefault="00F97884" w:rsidP="00F97884">
      <w:pPr>
        <w:pStyle w:val="ListParagraph"/>
        <w:numPr>
          <w:ilvl w:val="0"/>
          <w:numId w:val="49"/>
        </w:numPr>
        <w:jc w:val="both"/>
        <w:rPr>
          <w:highlight w:val="lightGray"/>
        </w:rPr>
      </w:pPr>
      <w:r w:rsidRPr="00260660">
        <w:rPr>
          <w:highlight w:val="lightGray"/>
        </w:rPr>
        <w:t>Measured downflow velocity (this could be measured by a different technician on the same day)</w:t>
      </w:r>
    </w:p>
    <w:p w14:paraId="2F9E95DB" w14:textId="472A9258" w:rsidR="00F97884" w:rsidRPr="00260660" w:rsidRDefault="00F97884" w:rsidP="00F97884">
      <w:pPr>
        <w:pStyle w:val="ListParagraph"/>
        <w:numPr>
          <w:ilvl w:val="0"/>
          <w:numId w:val="49"/>
        </w:numPr>
        <w:jc w:val="both"/>
        <w:rPr>
          <w:highlight w:val="lightGray"/>
        </w:rPr>
      </w:pPr>
      <w:r w:rsidRPr="00260660">
        <w:rPr>
          <w:highlight w:val="lightGray"/>
        </w:rPr>
        <w:t>Primary method inflow velocity</w:t>
      </w:r>
    </w:p>
    <w:p w14:paraId="71E7BD8F" w14:textId="04C00A4C" w:rsidR="00F97884" w:rsidRPr="00260660" w:rsidRDefault="00F97884" w:rsidP="00F97884">
      <w:pPr>
        <w:pStyle w:val="ListParagraph"/>
        <w:numPr>
          <w:ilvl w:val="0"/>
          <w:numId w:val="49"/>
        </w:numPr>
        <w:jc w:val="both"/>
        <w:rPr>
          <w:highlight w:val="lightGray"/>
        </w:rPr>
      </w:pPr>
      <w:r w:rsidRPr="00260660">
        <w:rPr>
          <w:highlight w:val="lightGray"/>
        </w:rPr>
        <w:t>Uncorrected secondary method inflow velocity</w:t>
      </w:r>
    </w:p>
    <w:p w14:paraId="62601055" w14:textId="1D51D599" w:rsidR="00F97884" w:rsidRPr="00260660" w:rsidRDefault="00F97884" w:rsidP="00F97884">
      <w:pPr>
        <w:pStyle w:val="ListParagraph"/>
        <w:numPr>
          <w:ilvl w:val="0"/>
          <w:numId w:val="49"/>
        </w:numPr>
        <w:jc w:val="both"/>
        <w:rPr>
          <w:highlight w:val="lightGray"/>
        </w:rPr>
      </w:pPr>
      <w:r w:rsidRPr="00260660">
        <w:rPr>
          <w:highlight w:val="lightGray"/>
        </w:rPr>
        <w:t>Fully corrected secondary method inflow velocity</w:t>
      </w:r>
    </w:p>
    <w:p w14:paraId="4D542CA0" w14:textId="77777777" w:rsidR="00F97884" w:rsidRPr="00260660" w:rsidRDefault="00F97884" w:rsidP="00F97884">
      <w:pPr>
        <w:jc w:val="both"/>
        <w:rPr>
          <w:highlight w:val="lightGray"/>
        </w:rPr>
      </w:pPr>
    </w:p>
    <w:p w14:paraId="687A3F9F" w14:textId="111CE78A" w:rsidR="00F97884" w:rsidRPr="00260660" w:rsidRDefault="00F97884" w:rsidP="00F97884">
      <w:pPr>
        <w:jc w:val="both"/>
        <w:rPr>
          <w:highlight w:val="lightGray"/>
        </w:rPr>
      </w:pPr>
      <w:r w:rsidRPr="00F97884">
        <w:rPr>
          <w:highlight w:val="lightGray"/>
        </w:rPr>
        <w:t>A manufacturer’s secondary method for measuring inflow velocity will be considered validated when</w:t>
      </w:r>
      <w:r w:rsidRPr="00260660">
        <w:rPr>
          <w:highlight w:val="lightGray"/>
        </w:rPr>
        <w:t xml:space="preserve"> t</w:t>
      </w:r>
      <w:r w:rsidRPr="00F97884">
        <w:rPr>
          <w:highlight w:val="lightGray"/>
        </w:rPr>
        <w:t>he difference between the primary method inflow velocity and the fully corrected secondary method inflow velocity for each inflow velocity data set is 5 ft/min or less.</w:t>
      </w:r>
    </w:p>
    <w:p w14:paraId="6F21BDAC" w14:textId="7C76535C" w:rsidR="00F97884" w:rsidRPr="00260660" w:rsidRDefault="00F97884" w:rsidP="00F97884">
      <w:pPr>
        <w:jc w:val="both"/>
        <w:rPr>
          <w:highlight w:val="lightGray"/>
        </w:rPr>
      </w:pPr>
    </w:p>
    <w:p w14:paraId="5925B6A7" w14:textId="3E600B83" w:rsidR="00260660" w:rsidRDefault="00F97884" w:rsidP="00F97884">
      <w:pPr>
        <w:jc w:val="both"/>
        <w:rPr>
          <w:highlight w:val="lightGray"/>
        </w:rPr>
      </w:pPr>
      <w:r w:rsidRPr="00260660">
        <w:rPr>
          <w:highlight w:val="lightGray"/>
        </w:rPr>
        <w:t>Correction factors may change over time as the manufacturer generates more data.  When additional data justifies a change to the correction factor, a manufacturer may submit the data and propose a changed correction factor.  The new correction factor shall be applied to qualification and requalification test results</w:t>
      </w:r>
      <w:r w:rsidR="00260660" w:rsidRPr="00260660">
        <w:rPr>
          <w:highlight w:val="lightGray"/>
        </w:rPr>
        <w:t xml:space="preserve"> and cannot change the result of those tests from pass to fail for the new correction factor to be accepted</w:t>
      </w:r>
      <w:r w:rsidR="00260660">
        <w:rPr>
          <w:highlight w:val="lightGray"/>
        </w:rPr>
        <w:t>.  When a new correction factor is approved, cabinet data plates and service manuals are modified to include this going forward but there is no requirement to update data plates for cabinets already in the field.</w:t>
      </w:r>
    </w:p>
    <w:p w14:paraId="36591BB2" w14:textId="77777777" w:rsidR="00260660" w:rsidRDefault="00260660" w:rsidP="00F97884">
      <w:pPr>
        <w:jc w:val="both"/>
        <w:rPr>
          <w:highlight w:val="lightGray"/>
        </w:rPr>
      </w:pPr>
    </w:p>
    <w:p w14:paraId="6268F591" w14:textId="4D6FFDA1" w:rsidR="00F97884" w:rsidRPr="00F97884" w:rsidRDefault="00260660" w:rsidP="00F97884">
      <w:pPr>
        <w:jc w:val="both"/>
      </w:pPr>
      <w:r>
        <w:rPr>
          <w:highlight w:val="lightGray"/>
        </w:rPr>
        <w:t>The standard recognizes that when a biosafety cabinet is initially being developed, 3 unique cabinets may not be available until production starts.  Therefore, validation of the secondary method may take place following initial qualification of the cabinet model</w:t>
      </w:r>
      <w:r w:rsidRPr="00260660">
        <w:rPr>
          <w:highlight w:val="lightGray"/>
        </w:rPr>
        <w:t>.</w:t>
      </w:r>
    </w:p>
    <w:p w14:paraId="55A97348" w14:textId="77777777" w:rsidR="00F97884" w:rsidRPr="003B2174" w:rsidRDefault="00F97884" w:rsidP="003970AC">
      <w:pPr>
        <w:jc w:val="both"/>
      </w:pPr>
    </w:p>
    <w:p w14:paraId="68415E70" w14:textId="77777777" w:rsidR="003B2174" w:rsidRPr="003B2174" w:rsidRDefault="003B2174" w:rsidP="003B2174">
      <w:pPr>
        <w:jc w:val="both"/>
        <w:rPr>
          <w:b/>
        </w:rPr>
      </w:pPr>
      <w:r w:rsidRPr="003B2174">
        <w:rPr>
          <w:b/>
        </w:rPr>
        <w:t>N-1.9.4</w:t>
      </w:r>
      <w:r w:rsidRPr="003B2174">
        <w:rPr>
          <w:b/>
        </w:rPr>
        <w:tab/>
      </w:r>
      <w:r w:rsidRPr="003B2174">
        <w:rPr>
          <w:b/>
        </w:rPr>
        <w:tab/>
        <w:t>Acceptance</w:t>
      </w:r>
    </w:p>
    <w:p w14:paraId="2ED0D989" w14:textId="77777777" w:rsidR="003B2174" w:rsidRPr="003B2174" w:rsidRDefault="003B2174" w:rsidP="003B2174">
      <w:pPr>
        <w:jc w:val="both"/>
        <w:rPr>
          <w:b/>
        </w:rPr>
      </w:pPr>
    </w:p>
    <w:p w14:paraId="1D36375C" w14:textId="77777777" w:rsidR="003B2174" w:rsidRPr="003B2174" w:rsidRDefault="003B2174" w:rsidP="003B2174">
      <w:pPr>
        <w:jc w:val="both"/>
        <w:rPr>
          <w:bCs/>
        </w:rPr>
      </w:pPr>
      <w:r w:rsidRPr="003B2174">
        <w:rPr>
          <w:bCs/>
        </w:rPr>
        <w:t xml:space="preserve">Acceptance criteria shall be based on inflow determined by the direct measurement. Subsequent production cabinets of the initial model and size may also qualify as meeting Section N-1.6 when the directly measured inflow velocities are provided within </w:t>
      </w:r>
      <w:bookmarkStart w:id="5" w:name="_Hlk132120677"/>
      <w:r w:rsidRPr="003B2174">
        <w:rPr>
          <w:bCs/>
        </w:rPr>
        <w:t xml:space="preserve">± 5 ft/min (± 0.025 m/s) </w:t>
      </w:r>
      <w:bookmarkEnd w:id="5"/>
      <w:r w:rsidRPr="003B2174">
        <w:rPr>
          <w:bCs/>
        </w:rPr>
        <w:t>of the nominal set point velocities.</w:t>
      </w:r>
    </w:p>
    <w:p w14:paraId="43F68F0D" w14:textId="77777777" w:rsidR="003B2174" w:rsidRPr="003B2174" w:rsidRDefault="003B2174" w:rsidP="003B2174">
      <w:pPr>
        <w:jc w:val="both"/>
        <w:rPr>
          <w:b/>
        </w:rPr>
      </w:pPr>
    </w:p>
    <w:bookmarkEnd w:id="1"/>
    <w:p w14:paraId="4CEF1570" w14:textId="77777777" w:rsidR="003B2174" w:rsidRPr="004C6E79" w:rsidRDefault="003B2174" w:rsidP="003B2174">
      <w:pPr>
        <w:pStyle w:val="ansi10normal"/>
        <w:widowControl w:val="0"/>
        <w:tabs>
          <w:tab w:val="clear" w:pos="360"/>
          <w:tab w:val="clear" w:pos="720"/>
          <w:tab w:val="clear" w:pos="1080"/>
          <w:tab w:val="clear" w:pos="1440"/>
          <w:tab w:val="clear" w:pos="1800"/>
          <w:tab w:val="clear" w:pos="2160"/>
        </w:tabs>
        <w:suppressAutoHyphens/>
      </w:pPr>
      <w:r w:rsidRPr="004C6E79">
        <w:t>The minimum inflow velocity of Type A1 cabinets shall be 75 ft/min (0.38 m/s). The minimum inflow volume shall be 45 ft</w:t>
      </w:r>
      <w:r w:rsidRPr="004C6E79">
        <w:rPr>
          <w:vertAlign w:val="superscript"/>
        </w:rPr>
        <w:t>3</w:t>
      </w:r>
      <w:r w:rsidRPr="004C6E79">
        <w:t>/min (76 m</w:t>
      </w:r>
      <w:r w:rsidRPr="004C6E79">
        <w:rPr>
          <w:vertAlign w:val="superscript"/>
        </w:rPr>
        <w:t>3</w:t>
      </w:r>
      <w:r w:rsidRPr="004C6E79">
        <w:t>/h) per 1</w:t>
      </w:r>
      <w:r>
        <w:t xml:space="preserve"> ft </w:t>
      </w:r>
      <w:r w:rsidRPr="004C6E79">
        <w:t xml:space="preserve">(0.3 m) of </w:t>
      </w:r>
      <w:r>
        <w:t xml:space="preserve">total </w:t>
      </w:r>
      <w:r w:rsidRPr="004C6E79">
        <w:t xml:space="preserve">work area width (see </w:t>
      </w:r>
      <w:r>
        <w:t>Sections N-1.6 and N-1</w:t>
      </w:r>
      <w:r w:rsidRPr="004C6E79">
        <w:t>.8).</w:t>
      </w:r>
    </w:p>
    <w:p w14:paraId="0B1635AB" w14:textId="77777777" w:rsidR="003B2174" w:rsidRPr="004C6E79" w:rsidRDefault="003B2174" w:rsidP="003B2174">
      <w:pPr>
        <w:pStyle w:val="ansi10normal"/>
        <w:widowControl w:val="0"/>
        <w:tabs>
          <w:tab w:val="clear" w:pos="360"/>
          <w:tab w:val="clear" w:pos="720"/>
          <w:tab w:val="clear" w:pos="1080"/>
          <w:tab w:val="clear" w:pos="1440"/>
          <w:tab w:val="clear" w:pos="1800"/>
          <w:tab w:val="clear" w:pos="2160"/>
        </w:tabs>
        <w:suppressAutoHyphens/>
      </w:pPr>
    </w:p>
    <w:p w14:paraId="6E159BA3" w14:textId="70C8BA62" w:rsidR="003B2174" w:rsidRDefault="003B2174" w:rsidP="003B2174">
      <w:pPr>
        <w:pStyle w:val="ansi10normal"/>
        <w:widowControl w:val="0"/>
        <w:tabs>
          <w:tab w:val="clear" w:pos="360"/>
          <w:tab w:val="clear" w:pos="720"/>
          <w:tab w:val="clear" w:pos="1080"/>
          <w:tab w:val="clear" w:pos="1440"/>
          <w:tab w:val="clear" w:pos="1800"/>
          <w:tab w:val="clear" w:pos="2160"/>
        </w:tabs>
        <w:suppressAutoHyphens/>
      </w:pPr>
      <w:r w:rsidRPr="004C6E79">
        <w:t>The minimum inflow velocity of Type A2, B1, and B2 cabinets shall be 100 ft/min (0.51 m/s). The minimum inflow volume shall be 65 ft</w:t>
      </w:r>
      <w:r w:rsidRPr="004C6E79">
        <w:rPr>
          <w:vertAlign w:val="superscript"/>
        </w:rPr>
        <w:t>3</w:t>
      </w:r>
      <w:r w:rsidRPr="004C6E79">
        <w:t>/min (110 m</w:t>
      </w:r>
      <w:r w:rsidRPr="004C6E79">
        <w:rPr>
          <w:vertAlign w:val="superscript"/>
        </w:rPr>
        <w:t>3</w:t>
      </w:r>
      <w:r w:rsidRPr="004C6E79">
        <w:t>/h) per 1</w:t>
      </w:r>
      <w:r>
        <w:t xml:space="preserve"> ft </w:t>
      </w:r>
      <w:r w:rsidRPr="004C6E79">
        <w:t xml:space="preserve">(0.3 m) of </w:t>
      </w:r>
      <w:r>
        <w:t xml:space="preserve">total </w:t>
      </w:r>
      <w:r w:rsidRPr="004C6E79">
        <w:t xml:space="preserve">work area width (see </w:t>
      </w:r>
      <w:r>
        <w:t>Sections N-1.6 and N-1</w:t>
      </w:r>
      <w:r w:rsidRPr="004C6E79">
        <w:t>.8).</w:t>
      </w:r>
    </w:p>
    <w:p w14:paraId="5FA33D15" w14:textId="146B35A9" w:rsidR="003B2174" w:rsidRDefault="003B2174" w:rsidP="003B2174">
      <w:pPr>
        <w:pStyle w:val="ansi10normal"/>
        <w:widowControl w:val="0"/>
        <w:tabs>
          <w:tab w:val="clear" w:pos="360"/>
          <w:tab w:val="clear" w:pos="720"/>
          <w:tab w:val="clear" w:pos="1080"/>
          <w:tab w:val="clear" w:pos="1440"/>
          <w:tab w:val="clear" w:pos="1800"/>
          <w:tab w:val="clear" w:pos="2160"/>
        </w:tabs>
        <w:suppressAutoHyphens/>
      </w:pPr>
    </w:p>
    <w:p w14:paraId="6FF63E80" w14:textId="277E6F1D" w:rsidR="003B2174" w:rsidRPr="004C6E79" w:rsidRDefault="003B2174" w:rsidP="003B2174">
      <w:pPr>
        <w:pStyle w:val="ansi10normal"/>
        <w:widowControl w:val="0"/>
        <w:tabs>
          <w:tab w:val="clear" w:pos="360"/>
          <w:tab w:val="clear" w:pos="720"/>
          <w:tab w:val="clear" w:pos="1080"/>
          <w:tab w:val="clear" w:pos="1440"/>
          <w:tab w:val="clear" w:pos="1800"/>
          <w:tab w:val="clear" w:pos="2160"/>
        </w:tabs>
        <w:suppressAutoHyphens/>
      </w:pPr>
      <w:r w:rsidRPr="003B2174">
        <w:rPr>
          <w:highlight w:val="lightGray"/>
        </w:rPr>
        <w:t xml:space="preserve">The fully corrected alternate inflow measurement shall be within </w:t>
      </w:r>
      <w:r w:rsidRPr="003B2174">
        <w:rPr>
          <w:bCs/>
          <w:highlight w:val="lightGray"/>
        </w:rPr>
        <w:t>± 5 ft/min (± 0.025 m/s) of the primary inflow velocity measurement when both measurements are completed on the same day.</w:t>
      </w:r>
    </w:p>
    <w:p w14:paraId="6B1A1891" w14:textId="77777777" w:rsidR="00586C5D" w:rsidRPr="003970AC" w:rsidRDefault="00586C5D" w:rsidP="00586C5D">
      <w:pPr>
        <w:tabs>
          <w:tab w:val="left" w:pos="720"/>
        </w:tabs>
        <w:jc w:val="both"/>
        <w:rPr>
          <w:szCs w:val="20"/>
        </w:rPr>
      </w:pPr>
    </w:p>
    <w:p w14:paraId="632D6098" w14:textId="77777777" w:rsidR="00586C5D" w:rsidRDefault="00586C5D" w:rsidP="00586C5D">
      <w:pPr>
        <w:pStyle w:val="ListParagraph"/>
        <w:numPr>
          <w:ilvl w:val="0"/>
          <w:numId w:val="45"/>
        </w:numPr>
        <w:jc w:val="both"/>
        <w:rPr>
          <w:b/>
        </w:rPr>
      </w:pPr>
      <w:bookmarkStart w:id="6" w:name="_Hlk132201958"/>
    </w:p>
    <w:p w14:paraId="5EDF930A" w14:textId="77777777" w:rsidR="00586C5D" w:rsidRDefault="00586C5D" w:rsidP="00586C5D">
      <w:pPr>
        <w:pStyle w:val="ListParagraph"/>
        <w:numPr>
          <w:ilvl w:val="0"/>
          <w:numId w:val="45"/>
        </w:numPr>
        <w:jc w:val="both"/>
        <w:rPr>
          <w:b/>
        </w:rPr>
      </w:pPr>
      <w:r>
        <w:rPr>
          <w:b/>
        </w:rPr>
        <w:t xml:space="preserve"> </w:t>
      </w:r>
    </w:p>
    <w:p w14:paraId="4218CF15" w14:textId="77777777" w:rsidR="00586C5D" w:rsidRDefault="00586C5D" w:rsidP="00586C5D">
      <w:pPr>
        <w:pStyle w:val="ListParagraph"/>
        <w:numPr>
          <w:ilvl w:val="0"/>
          <w:numId w:val="45"/>
        </w:numPr>
        <w:jc w:val="both"/>
        <w:rPr>
          <w:b/>
        </w:rPr>
      </w:pPr>
      <w:r>
        <w:rPr>
          <w:b/>
        </w:rPr>
        <w:lastRenderedPageBreak/>
        <w:t xml:space="preserve"> </w:t>
      </w:r>
    </w:p>
    <w:p w14:paraId="4CCD3A69" w14:textId="77777777" w:rsidR="00586C5D" w:rsidRDefault="00586C5D" w:rsidP="00586C5D">
      <w:pPr>
        <w:jc w:val="both"/>
        <w:rPr>
          <w:b/>
        </w:rPr>
      </w:pPr>
    </w:p>
    <w:p w14:paraId="77ADEEDC" w14:textId="77777777" w:rsidR="00586C5D" w:rsidRPr="00586C5D" w:rsidRDefault="00586C5D" w:rsidP="00586C5D">
      <w:pPr>
        <w:jc w:val="both"/>
        <w:rPr>
          <w:b/>
          <w:bCs/>
          <w:szCs w:val="20"/>
        </w:rPr>
      </w:pPr>
      <w:r w:rsidRPr="00586C5D">
        <w:rPr>
          <w:b/>
          <w:bCs/>
          <w:szCs w:val="20"/>
        </w:rPr>
        <w:t>N-5.3.3.1</w:t>
      </w:r>
      <w:r w:rsidRPr="00586C5D">
        <w:rPr>
          <w:b/>
          <w:bCs/>
          <w:szCs w:val="20"/>
        </w:rPr>
        <w:tab/>
      </w:r>
      <w:r w:rsidRPr="00586C5D">
        <w:rPr>
          <w:b/>
          <w:bCs/>
          <w:szCs w:val="20"/>
        </w:rPr>
        <w:tab/>
        <w:t>General</w:t>
      </w:r>
    </w:p>
    <w:p w14:paraId="66B167E7" w14:textId="77777777" w:rsidR="00586C5D" w:rsidRPr="00586C5D" w:rsidRDefault="00586C5D" w:rsidP="00586C5D">
      <w:pPr>
        <w:jc w:val="both"/>
        <w:rPr>
          <w:szCs w:val="20"/>
        </w:rPr>
      </w:pPr>
    </w:p>
    <w:p w14:paraId="158CBF97" w14:textId="04DD76F8" w:rsidR="00005E6D" w:rsidRDefault="00586C5D" w:rsidP="00586C5D">
      <w:pPr>
        <w:jc w:val="both"/>
        <w:rPr>
          <w:szCs w:val="20"/>
        </w:rPr>
      </w:pPr>
      <w:r w:rsidRPr="00586C5D">
        <w:rPr>
          <w:szCs w:val="20"/>
        </w:rPr>
        <w:t>When the testing organization has determined the nominal set point on a given model and size of cabinet using a DIM device, and an appropriate alternative method has been validated for that cabinet by the testing organization, this alternate method may be used to establish the set point on the same model and size of cabinet in the field</w:t>
      </w:r>
      <w:r w:rsidRPr="00586C5D">
        <w:rPr>
          <w:szCs w:val="20"/>
          <w:highlight w:val="lightGray"/>
        </w:rPr>
        <w:t>, when the DIM cannot be used for one or more of the reasons in N-5.3.3.3</w:t>
      </w:r>
      <w:r w:rsidRPr="00586C5D">
        <w:rPr>
          <w:szCs w:val="20"/>
        </w:rPr>
        <w:t>.</w:t>
      </w:r>
    </w:p>
    <w:p w14:paraId="5A533F7A" w14:textId="77777777" w:rsidR="00586C5D" w:rsidRPr="00586C5D" w:rsidRDefault="00586C5D" w:rsidP="00586C5D">
      <w:pPr>
        <w:jc w:val="both"/>
        <w:rPr>
          <w:szCs w:val="20"/>
        </w:rPr>
      </w:pPr>
    </w:p>
    <w:p w14:paraId="039EFDCE" w14:textId="77777777" w:rsidR="00586C5D" w:rsidRDefault="00586C5D" w:rsidP="00586C5D">
      <w:pPr>
        <w:pStyle w:val="ListParagraph"/>
        <w:numPr>
          <w:ilvl w:val="0"/>
          <w:numId w:val="45"/>
        </w:numPr>
        <w:jc w:val="both"/>
        <w:rPr>
          <w:b/>
        </w:rPr>
      </w:pPr>
    </w:p>
    <w:p w14:paraId="057B76F8" w14:textId="77777777" w:rsidR="00586C5D" w:rsidRDefault="00586C5D" w:rsidP="00586C5D">
      <w:pPr>
        <w:pStyle w:val="ListParagraph"/>
        <w:numPr>
          <w:ilvl w:val="0"/>
          <w:numId w:val="45"/>
        </w:numPr>
        <w:jc w:val="both"/>
        <w:rPr>
          <w:b/>
        </w:rPr>
      </w:pPr>
      <w:r>
        <w:rPr>
          <w:b/>
        </w:rPr>
        <w:t xml:space="preserve"> </w:t>
      </w:r>
    </w:p>
    <w:p w14:paraId="6C8FC53C" w14:textId="77777777" w:rsidR="00586C5D" w:rsidRDefault="00586C5D" w:rsidP="00586C5D">
      <w:pPr>
        <w:pStyle w:val="ListParagraph"/>
        <w:numPr>
          <w:ilvl w:val="0"/>
          <w:numId w:val="45"/>
        </w:numPr>
        <w:jc w:val="both"/>
        <w:rPr>
          <w:b/>
        </w:rPr>
      </w:pPr>
      <w:r>
        <w:rPr>
          <w:b/>
        </w:rPr>
        <w:t xml:space="preserve"> </w:t>
      </w:r>
    </w:p>
    <w:p w14:paraId="6FCEF2B6" w14:textId="77777777" w:rsidR="00586C5D" w:rsidRPr="00586C5D" w:rsidRDefault="00586C5D" w:rsidP="00586C5D">
      <w:pPr>
        <w:jc w:val="both"/>
        <w:rPr>
          <w:szCs w:val="20"/>
        </w:rPr>
      </w:pPr>
    </w:p>
    <w:p w14:paraId="71423676" w14:textId="77777777" w:rsidR="00586C5D" w:rsidRPr="00586C5D" w:rsidRDefault="00586C5D" w:rsidP="00586C5D">
      <w:pPr>
        <w:jc w:val="both"/>
        <w:rPr>
          <w:b/>
          <w:bCs/>
          <w:szCs w:val="20"/>
        </w:rPr>
      </w:pPr>
      <w:r w:rsidRPr="00586C5D">
        <w:rPr>
          <w:b/>
          <w:bCs/>
          <w:szCs w:val="20"/>
        </w:rPr>
        <w:t>N-5.3.3.3</w:t>
      </w:r>
      <w:r w:rsidRPr="00586C5D">
        <w:rPr>
          <w:b/>
          <w:bCs/>
          <w:szCs w:val="20"/>
        </w:rPr>
        <w:tab/>
      </w:r>
      <w:r w:rsidRPr="00586C5D">
        <w:rPr>
          <w:b/>
          <w:bCs/>
          <w:szCs w:val="20"/>
        </w:rPr>
        <w:tab/>
        <w:t>Alternate inflow measurement methods</w:t>
      </w:r>
    </w:p>
    <w:p w14:paraId="143040EF" w14:textId="77777777" w:rsidR="00586C5D" w:rsidRPr="00586C5D" w:rsidRDefault="00586C5D" w:rsidP="00586C5D">
      <w:pPr>
        <w:jc w:val="both"/>
        <w:rPr>
          <w:szCs w:val="20"/>
        </w:rPr>
      </w:pPr>
    </w:p>
    <w:p w14:paraId="1A37D23D" w14:textId="77777777" w:rsidR="00586C5D" w:rsidRPr="00586C5D" w:rsidRDefault="00586C5D" w:rsidP="00586C5D">
      <w:pPr>
        <w:jc w:val="both"/>
        <w:rPr>
          <w:szCs w:val="20"/>
        </w:rPr>
      </w:pPr>
      <w:r w:rsidRPr="00586C5D">
        <w:rPr>
          <w:szCs w:val="20"/>
        </w:rPr>
        <w:t>If the DIM method cannot be used, one of the alternative methods below may be used to determine the inflow velocity, if provided by the manufacturer.</w:t>
      </w:r>
    </w:p>
    <w:p w14:paraId="6A893796" w14:textId="77777777" w:rsidR="00586C5D" w:rsidRPr="00586C5D" w:rsidRDefault="00586C5D" w:rsidP="00586C5D">
      <w:pPr>
        <w:jc w:val="both"/>
        <w:rPr>
          <w:szCs w:val="20"/>
        </w:rPr>
      </w:pPr>
    </w:p>
    <w:p w14:paraId="2D2675FF" w14:textId="77777777" w:rsidR="00586C5D" w:rsidRPr="00586C5D" w:rsidRDefault="00586C5D" w:rsidP="00586C5D">
      <w:pPr>
        <w:jc w:val="both"/>
        <w:rPr>
          <w:szCs w:val="20"/>
        </w:rPr>
      </w:pPr>
      <w:r w:rsidRPr="00586C5D">
        <w:rPr>
          <w:szCs w:val="20"/>
        </w:rPr>
        <w:t>Alternate inflow measurement methods shall only be used for any or all of the following reasons:</w:t>
      </w:r>
    </w:p>
    <w:p w14:paraId="37897ED2" w14:textId="77777777" w:rsidR="00586C5D" w:rsidRPr="00586C5D" w:rsidRDefault="00586C5D" w:rsidP="00586C5D">
      <w:pPr>
        <w:jc w:val="both"/>
        <w:rPr>
          <w:szCs w:val="20"/>
        </w:rPr>
      </w:pPr>
    </w:p>
    <w:p w14:paraId="30D30732" w14:textId="22F8CBFB" w:rsidR="00586C5D" w:rsidRPr="00586C5D" w:rsidRDefault="00586C5D" w:rsidP="00586C5D">
      <w:pPr>
        <w:jc w:val="both"/>
        <w:rPr>
          <w:szCs w:val="20"/>
        </w:rPr>
      </w:pPr>
      <w:r w:rsidRPr="00586C5D">
        <w:rPr>
          <w:szCs w:val="20"/>
        </w:rPr>
        <w:t>—</w:t>
      </w:r>
      <w:r w:rsidRPr="00586C5D">
        <w:rPr>
          <w:szCs w:val="20"/>
        </w:rPr>
        <w:tab/>
        <w:t xml:space="preserve">the space between the </w:t>
      </w:r>
      <w:r w:rsidRPr="00586C5D">
        <w:rPr>
          <w:strike/>
          <w:szCs w:val="20"/>
        </w:rPr>
        <w:t>face of the BSC</w:t>
      </w:r>
      <w:r w:rsidRPr="00586C5D">
        <w:rPr>
          <w:szCs w:val="20"/>
        </w:rPr>
        <w:t xml:space="preserve"> </w:t>
      </w:r>
      <w:r>
        <w:rPr>
          <w:szCs w:val="20"/>
        </w:rPr>
        <w:t xml:space="preserve">inlet of the DIM (after sealing the DIM into the BSC access opening) </w:t>
      </w:r>
      <w:r w:rsidRPr="00586C5D">
        <w:rPr>
          <w:szCs w:val="20"/>
        </w:rPr>
        <w:t xml:space="preserve">and permanent fixture directly opposite the access opening is less than </w:t>
      </w:r>
      <w:r w:rsidRPr="00586C5D">
        <w:rPr>
          <w:strike/>
          <w:szCs w:val="20"/>
        </w:rPr>
        <w:t>42</w:t>
      </w:r>
      <w:r w:rsidRPr="00586C5D">
        <w:rPr>
          <w:szCs w:val="20"/>
        </w:rPr>
        <w:t xml:space="preserve"> </w:t>
      </w:r>
      <w:r w:rsidRPr="00586C5D">
        <w:rPr>
          <w:szCs w:val="20"/>
          <w:highlight w:val="lightGray"/>
        </w:rPr>
        <w:t>6</w:t>
      </w:r>
      <w:r>
        <w:rPr>
          <w:szCs w:val="20"/>
        </w:rPr>
        <w:t xml:space="preserve"> </w:t>
      </w:r>
      <w:r w:rsidRPr="00586C5D">
        <w:rPr>
          <w:szCs w:val="20"/>
        </w:rPr>
        <w:t>in (</w:t>
      </w:r>
      <w:r w:rsidRPr="00586C5D">
        <w:rPr>
          <w:strike/>
          <w:szCs w:val="20"/>
        </w:rPr>
        <w:t>1.1 m</w:t>
      </w:r>
      <w:r w:rsidRPr="00586C5D">
        <w:rPr>
          <w:szCs w:val="20"/>
          <w:highlight w:val="lightGray"/>
        </w:rPr>
        <w:t>152 mm</w:t>
      </w:r>
      <w:r w:rsidRPr="00586C5D">
        <w:rPr>
          <w:szCs w:val="20"/>
        </w:rPr>
        <w:t>);</w:t>
      </w:r>
    </w:p>
    <w:p w14:paraId="2AC7D8E4" w14:textId="77777777" w:rsidR="00586C5D" w:rsidRPr="00586C5D" w:rsidRDefault="00586C5D" w:rsidP="00586C5D">
      <w:pPr>
        <w:jc w:val="both"/>
        <w:rPr>
          <w:szCs w:val="20"/>
        </w:rPr>
      </w:pPr>
    </w:p>
    <w:p w14:paraId="4FD8607E" w14:textId="5855A49C" w:rsidR="00586C5D" w:rsidRPr="00586C5D" w:rsidRDefault="00586C5D" w:rsidP="00586C5D">
      <w:pPr>
        <w:jc w:val="both"/>
        <w:rPr>
          <w:szCs w:val="20"/>
        </w:rPr>
      </w:pPr>
      <w:r w:rsidRPr="00586C5D">
        <w:rPr>
          <w:szCs w:val="20"/>
        </w:rPr>
        <w:t>—</w:t>
      </w:r>
      <w:r w:rsidRPr="00586C5D">
        <w:rPr>
          <w:szCs w:val="20"/>
        </w:rPr>
        <w:tab/>
        <w:t>the BSC was certified by the testing organization prior to NSF/ANSI 49-2002, when the DIM method for measuring inflow velocity was added to the standard;</w:t>
      </w:r>
      <w:r>
        <w:rPr>
          <w:szCs w:val="20"/>
        </w:rPr>
        <w:t xml:space="preserve"> </w:t>
      </w:r>
      <w:r w:rsidRPr="00586C5D">
        <w:rPr>
          <w:szCs w:val="20"/>
          <w:highlight w:val="lightGray"/>
        </w:rPr>
        <w:t>and</w:t>
      </w:r>
    </w:p>
    <w:p w14:paraId="3AFAAE6C" w14:textId="77777777" w:rsidR="00586C5D" w:rsidRPr="00586C5D" w:rsidRDefault="00586C5D" w:rsidP="00586C5D">
      <w:pPr>
        <w:jc w:val="both"/>
        <w:rPr>
          <w:szCs w:val="20"/>
        </w:rPr>
      </w:pPr>
    </w:p>
    <w:p w14:paraId="3E02273F" w14:textId="77777777" w:rsidR="00586C5D" w:rsidRPr="00586C5D" w:rsidRDefault="00586C5D" w:rsidP="00586C5D">
      <w:pPr>
        <w:jc w:val="both"/>
        <w:rPr>
          <w:szCs w:val="20"/>
        </w:rPr>
      </w:pPr>
      <w:r w:rsidRPr="00586C5D">
        <w:rPr>
          <w:szCs w:val="20"/>
        </w:rPr>
        <w:t>—</w:t>
      </w:r>
      <w:r w:rsidRPr="00586C5D">
        <w:rPr>
          <w:szCs w:val="20"/>
        </w:rPr>
        <w:tab/>
        <w:t xml:space="preserve">testing is completed on a BSC not located in North America; </w:t>
      </w:r>
      <w:r w:rsidRPr="00586C5D">
        <w:rPr>
          <w:strike/>
          <w:szCs w:val="20"/>
        </w:rPr>
        <w:t>and</w:t>
      </w:r>
    </w:p>
    <w:p w14:paraId="73A876B2" w14:textId="77777777" w:rsidR="00586C5D" w:rsidRPr="00586C5D" w:rsidRDefault="00586C5D" w:rsidP="00586C5D">
      <w:pPr>
        <w:jc w:val="both"/>
        <w:rPr>
          <w:szCs w:val="20"/>
        </w:rPr>
      </w:pPr>
    </w:p>
    <w:p w14:paraId="20DE9090" w14:textId="77777777" w:rsidR="00586C5D" w:rsidRPr="00586C5D" w:rsidRDefault="00586C5D" w:rsidP="00586C5D">
      <w:pPr>
        <w:jc w:val="both"/>
        <w:rPr>
          <w:strike/>
          <w:szCs w:val="20"/>
        </w:rPr>
      </w:pPr>
      <w:r w:rsidRPr="00586C5D">
        <w:rPr>
          <w:szCs w:val="20"/>
        </w:rPr>
        <w:t>—</w:t>
      </w:r>
      <w:r w:rsidRPr="00586C5D">
        <w:rPr>
          <w:szCs w:val="20"/>
        </w:rPr>
        <w:tab/>
      </w:r>
      <w:r w:rsidRPr="00586C5D">
        <w:rPr>
          <w:strike/>
          <w:szCs w:val="20"/>
        </w:rPr>
        <w:t>the owner / operator of the BSC requests use of a secondary method due to DIM instrument cleanability when the BSC is located in sterile area or clean room.</w:t>
      </w:r>
    </w:p>
    <w:p w14:paraId="155CAE92" w14:textId="77777777" w:rsidR="00586C5D" w:rsidRPr="00586C5D" w:rsidRDefault="00586C5D" w:rsidP="00586C5D">
      <w:pPr>
        <w:jc w:val="both"/>
        <w:rPr>
          <w:szCs w:val="20"/>
        </w:rPr>
      </w:pPr>
    </w:p>
    <w:p w14:paraId="4EDE40A1" w14:textId="1CEB9B3D" w:rsidR="003B2174" w:rsidRPr="00586C5D" w:rsidRDefault="00586C5D" w:rsidP="00586C5D">
      <w:pPr>
        <w:jc w:val="both"/>
        <w:rPr>
          <w:szCs w:val="20"/>
        </w:rPr>
      </w:pPr>
      <w:r w:rsidRPr="00586C5D">
        <w:rPr>
          <w:szCs w:val="20"/>
        </w:rPr>
        <w:t>The DIM shall be used in all other circumstances.</w:t>
      </w:r>
    </w:p>
    <w:bookmarkEnd w:id="6"/>
    <w:p w14:paraId="15AF4030" w14:textId="77777777" w:rsidR="00586C5D" w:rsidRPr="002B3C4E" w:rsidRDefault="00586C5D" w:rsidP="00586C5D">
      <w:pPr>
        <w:jc w:val="both"/>
        <w:rPr>
          <w:color w:val="FF0000"/>
          <w:szCs w:val="20"/>
        </w:rPr>
      </w:pPr>
    </w:p>
    <w:p w14:paraId="1713E7CD" w14:textId="77777777" w:rsidR="00A70914" w:rsidRPr="000F2311" w:rsidRDefault="00A70914" w:rsidP="00A70914">
      <w:pPr>
        <w:jc w:val="both"/>
        <w:rPr>
          <w:sz w:val="22"/>
          <w:szCs w:val="22"/>
        </w:rPr>
      </w:pPr>
      <w:r w:rsidRPr="000F2311">
        <w:rPr>
          <w:sz w:val="22"/>
          <w:szCs w:val="22"/>
          <w:u w:val="single"/>
        </w:rPr>
        <w:t>Supplementary Materials (photographs, diagrams, reports, etc.):</w:t>
      </w:r>
      <w:r w:rsidRPr="000F2311">
        <w:rPr>
          <w:sz w:val="22"/>
          <w:szCs w:val="22"/>
        </w:rPr>
        <w:tab/>
      </w:r>
    </w:p>
    <w:p w14:paraId="71B06D80" w14:textId="77777777" w:rsidR="00A70914" w:rsidRPr="000F2311" w:rsidRDefault="00A70914" w:rsidP="00A70914">
      <w:pPr>
        <w:jc w:val="both"/>
        <w:rPr>
          <w:i/>
          <w:iCs/>
        </w:rPr>
      </w:pPr>
      <w:r w:rsidRPr="000F2311">
        <w:rPr>
          <w:i/>
          <w:iCs/>
        </w:rPr>
        <w:t xml:space="preserve">If not provided electronically, the submitter will be responsible to have sufficient copies to distribute to committee members. </w:t>
      </w:r>
    </w:p>
    <w:p w14:paraId="1865B306" w14:textId="77777777" w:rsidR="00A70914" w:rsidRPr="000F2311" w:rsidRDefault="00A70914" w:rsidP="00A70914">
      <w:pPr>
        <w:jc w:val="both"/>
        <w:rPr>
          <w:sz w:val="16"/>
          <w:szCs w:val="16"/>
          <w:u w:val="single"/>
        </w:rPr>
      </w:pPr>
    </w:p>
    <w:p w14:paraId="1091B9D6" w14:textId="77777777" w:rsidR="00A70914" w:rsidRPr="000F2311" w:rsidRDefault="00A70914" w:rsidP="00A70914">
      <w:pPr>
        <w:jc w:val="both"/>
        <w:rPr>
          <w:sz w:val="16"/>
          <w:szCs w:val="16"/>
          <w:u w:val="single"/>
        </w:rPr>
      </w:pPr>
    </w:p>
    <w:p w14:paraId="4192F340" w14:textId="77777777" w:rsidR="00A70914" w:rsidRPr="000F2311" w:rsidRDefault="00A70914" w:rsidP="00A70914">
      <w:pPr>
        <w:jc w:val="both"/>
        <w:rPr>
          <w:b/>
          <w:bCs/>
          <w:i/>
          <w:iCs/>
          <w:szCs w:val="20"/>
        </w:rPr>
      </w:pPr>
      <w:r w:rsidRPr="000F2311">
        <w:rPr>
          <w:b/>
          <w:bCs/>
          <w:i/>
          <w:iCs/>
          <w:szCs w:val="20"/>
        </w:rPr>
        <w:t>I hereby grant NSF International the non-exclusive, royalty free rights, including non-exclusive, royalty free rights in copyright; in this item and I understand that I acquire no rights in any publication of NSF International in which this item in this or another similar or analogous form is used.</w:t>
      </w:r>
    </w:p>
    <w:p w14:paraId="3D8AB40B" w14:textId="77777777" w:rsidR="00A70914" w:rsidRPr="000F2311" w:rsidRDefault="00A70914" w:rsidP="00A70914">
      <w:pPr>
        <w:jc w:val="both"/>
        <w:rPr>
          <w:sz w:val="16"/>
          <w:szCs w:val="16"/>
        </w:rPr>
      </w:pPr>
    </w:p>
    <w:p w14:paraId="0D29E304" w14:textId="77777777" w:rsidR="00A70914" w:rsidRPr="000F2311" w:rsidRDefault="00A70914" w:rsidP="00A70914">
      <w:pPr>
        <w:jc w:val="both"/>
        <w:rPr>
          <w:sz w:val="16"/>
          <w:szCs w:val="16"/>
        </w:rPr>
      </w:pPr>
    </w:p>
    <w:p w14:paraId="1AF6BBD7" w14:textId="77777777" w:rsidR="00A70914" w:rsidRPr="000F2311" w:rsidRDefault="00A70914" w:rsidP="00A70914">
      <w:pPr>
        <w:jc w:val="both"/>
        <w:rPr>
          <w:sz w:val="24"/>
        </w:rPr>
      </w:pPr>
      <w:r w:rsidRPr="000F2311">
        <w:rPr>
          <w:sz w:val="24"/>
        </w:rPr>
        <w:t xml:space="preserve">Signature*:  </w:t>
      </w:r>
      <w:r w:rsidRPr="000F2311">
        <w:rPr>
          <w:sz w:val="24"/>
          <w:u w:val="single"/>
        </w:rPr>
        <w:tab/>
      </w:r>
      <w:r w:rsidRPr="000F2311">
        <w:rPr>
          <w:sz w:val="24"/>
          <w:u w:val="single"/>
        </w:rPr>
        <w:tab/>
      </w:r>
      <w:r w:rsidR="00075787">
        <w:rPr>
          <w:sz w:val="24"/>
          <w:u w:val="single"/>
        </w:rPr>
        <w:t>Steve Williams</w:t>
      </w:r>
      <w:r w:rsidRPr="000F2311">
        <w:rPr>
          <w:sz w:val="24"/>
          <w:u w:val="single"/>
        </w:rPr>
        <w:tab/>
      </w:r>
      <w:r w:rsidRPr="000F2311">
        <w:rPr>
          <w:sz w:val="24"/>
          <w:u w:val="single"/>
        </w:rPr>
        <w:tab/>
      </w:r>
      <w:r w:rsidRPr="000F2311">
        <w:rPr>
          <w:sz w:val="24"/>
          <w:u w:val="single"/>
        </w:rPr>
        <w:tab/>
      </w:r>
      <w:r w:rsidRPr="000F2311">
        <w:rPr>
          <w:sz w:val="24"/>
          <w:u w:val="single"/>
        </w:rPr>
        <w:tab/>
      </w:r>
      <w:r w:rsidRPr="000F2311">
        <w:rPr>
          <w:sz w:val="24"/>
          <w:u w:val="single"/>
        </w:rPr>
        <w:tab/>
      </w:r>
      <w:r w:rsidRPr="000F2311">
        <w:rPr>
          <w:sz w:val="24"/>
          <w:u w:val="single"/>
        </w:rPr>
        <w:tab/>
      </w:r>
      <w:r w:rsidRPr="000F2311">
        <w:rPr>
          <w:sz w:val="24"/>
          <w:u w:val="single"/>
        </w:rPr>
        <w:tab/>
      </w:r>
    </w:p>
    <w:p w14:paraId="0690E11B" w14:textId="77777777" w:rsidR="00A70914" w:rsidRPr="000F2311" w:rsidRDefault="00A70914" w:rsidP="00A70914">
      <w:pPr>
        <w:jc w:val="both"/>
        <w:rPr>
          <w:sz w:val="24"/>
          <w:u w:val="single"/>
        </w:rPr>
      </w:pPr>
      <w:r w:rsidRPr="000F2311">
        <w:rPr>
          <w:sz w:val="24"/>
        </w:rPr>
        <w:t>Company:</w:t>
      </w:r>
      <w:r w:rsidRPr="000F2311">
        <w:rPr>
          <w:sz w:val="24"/>
          <w:u w:val="single"/>
        </w:rPr>
        <w:tab/>
      </w:r>
      <w:r w:rsidRPr="000F2311">
        <w:rPr>
          <w:sz w:val="24"/>
          <w:u w:val="single"/>
        </w:rPr>
        <w:tab/>
      </w:r>
      <w:r w:rsidR="00075787">
        <w:rPr>
          <w:sz w:val="24"/>
          <w:u w:val="single"/>
        </w:rPr>
        <w:t>NSF International</w:t>
      </w:r>
      <w:r w:rsidRPr="000F2311">
        <w:rPr>
          <w:sz w:val="24"/>
          <w:u w:val="single"/>
        </w:rPr>
        <w:tab/>
      </w:r>
      <w:r w:rsidRPr="000F2311">
        <w:rPr>
          <w:sz w:val="24"/>
          <w:u w:val="single"/>
        </w:rPr>
        <w:tab/>
      </w:r>
      <w:r w:rsidRPr="000F2311">
        <w:rPr>
          <w:sz w:val="24"/>
          <w:u w:val="single"/>
        </w:rPr>
        <w:tab/>
      </w:r>
      <w:r w:rsidRPr="000F2311">
        <w:rPr>
          <w:sz w:val="24"/>
          <w:u w:val="single"/>
        </w:rPr>
        <w:tab/>
      </w:r>
      <w:r w:rsidRPr="000F2311">
        <w:rPr>
          <w:sz w:val="24"/>
          <w:u w:val="single"/>
        </w:rPr>
        <w:tab/>
      </w:r>
      <w:r w:rsidRPr="000F2311">
        <w:rPr>
          <w:sz w:val="24"/>
          <w:u w:val="single"/>
        </w:rPr>
        <w:tab/>
      </w:r>
      <w:r w:rsidRPr="000F2311">
        <w:rPr>
          <w:sz w:val="24"/>
          <w:u w:val="single"/>
        </w:rPr>
        <w:tab/>
      </w:r>
    </w:p>
    <w:p w14:paraId="7F186C8C" w14:textId="77777777" w:rsidR="00A70914" w:rsidRPr="000F2311" w:rsidRDefault="00A70914" w:rsidP="00A70914">
      <w:pPr>
        <w:jc w:val="both"/>
        <w:rPr>
          <w:sz w:val="24"/>
        </w:rPr>
      </w:pPr>
      <w:r w:rsidRPr="000F2311">
        <w:rPr>
          <w:sz w:val="24"/>
        </w:rPr>
        <w:t>Telephone Number:</w:t>
      </w:r>
      <w:r w:rsidRPr="000F2311">
        <w:rPr>
          <w:sz w:val="24"/>
        </w:rPr>
        <w:tab/>
      </w:r>
      <w:r w:rsidRPr="000F2311">
        <w:rPr>
          <w:sz w:val="24"/>
          <w:u w:val="single"/>
        </w:rPr>
        <w:tab/>
      </w:r>
      <w:r w:rsidRPr="000F2311">
        <w:rPr>
          <w:sz w:val="24"/>
          <w:u w:val="single"/>
        </w:rPr>
        <w:tab/>
      </w:r>
      <w:r w:rsidRPr="000F2311">
        <w:rPr>
          <w:sz w:val="24"/>
          <w:u w:val="single"/>
        </w:rPr>
        <w:tab/>
      </w:r>
      <w:r w:rsidRPr="000F2311">
        <w:rPr>
          <w:sz w:val="24"/>
        </w:rPr>
        <w:tab/>
        <w:t>E-mail:</w:t>
      </w:r>
      <w:r w:rsidRPr="000F2311">
        <w:rPr>
          <w:sz w:val="24"/>
          <w:u w:val="single"/>
        </w:rPr>
        <w:tab/>
      </w:r>
      <w:r w:rsidR="00075787">
        <w:rPr>
          <w:sz w:val="24"/>
          <w:u w:val="single"/>
        </w:rPr>
        <w:t>williams@nsf.org</w:t>
      </w:r>
      <w:r w:rsidRPr="000F2311">
        <w:rPr>
          <w:sz w:val="24"/>
          <w:u w:val="single"/>
        </w:rPr>
        <w:tab/>
      </w:r>
    </w:p>
    <w:p w14:paraId="67092959" w14:textId="64905BC1" w:rsidR="00A70914" w:rsidRPr="000F2311" w:rsidRDefault="00A70914" w:rsidP="00A70914">
      <w:pPr>
        <w:jc w:val="both"/>
        <w:rPr>
          <w:sz w:val="24"/>
        </w:rPr>
      </w:pPr>
      <w:r w:rsidRPr="000F2311">
        <w:rPr>
          <w:sz w:val="24"/>
        </w:rPr>
        <w:t>Submission Date:</w:t>
      </w:r>
      <w:r w:rsidRPr="000F2311">
        <w:rPr>
          <w:sz w:val="24"/>
        </w:rPr>
        <w:tab/>
      </w:r>
      <w:r w:rsidRPr="000F2311">
        <w:rPr>
          <w:sz w:val="24"/>
          <w:u w:val="single"/>
        </w:rPr>
        <w:tab/>
      </w:r>
      <w:r w:rsidR="00260660">
        <w:rPr>
          <w:sz w:val="24"/>
          <w:u w:val="single"/>
        </w:rPr>
        <w:t>4/11</w:t>
      </w:r>
      <w:r w:rsidR="008459F7">
        <w:rPr>
          <w:sz w:val="24"/>
          <w:u w:val="single"/>
        </w:rPr>
        <w:t>/23</w:t>
      </w:r>
      <w:r w:rsidRPr="000F2311">
        <w:rPr>
          <w:sz w:val="24"/>
          <w:u w:val="single"/>
        </w:rPr>
        <w:tab/>
      </w:r>
      <w:r w:rsidRPr="000F2311">
        <w:rPr>
          <w:sz w:val="24"/>
          <w:u w:val="single"/>
        </w:rPr>
        <w:tab/>
      </w:r>
      <w:r w:rsidRPr="000F2311">
        <w:rPr>
          <w:sz w:val="24"/>
          <w:u w:val="single"/>
        </w:rPr>
        <w:tab/>
      </w:r>
    </w:p>
    <w:p w14:paraId="65842A26" w14:textId="77777777" w:rsidR="00A70914" w:rsidRPr="000F2311" w:rsidRDefault="00A70914" w:rsidP="00A70914">
      <w:pPr>
        <w:jc w:val="both"/>
        <w:rPr>
          <w:b/>
          <w:bCs/>
          <w:i/>
          <w:iCs/>
          <w:sz w:val="24"/>
        </w:rPr>
      </w:pPr>
      <w:r w:rsidRPr="000F2311">
        <w:rPr>
          <w:i/>
          <w:iCs/>
        </w:rPr>
        <w:t>*Type written name will suffice as signature</w:t>
      </w:r>
    </w:p>
    <w:p w14:paraId="1A51E673" w14:textId="77777777" w:rsidR="00A70914" w:rsidRPr="000F2311" w:rsidRDefault="00A70914" w:rsidP="00A70914">
      <w:pPr>
        <w:jc w:val="both"/>
        <w:rPr>
          <w:b/>
          <w:bCs/>
          <w:i/>
          <w:iCs/>
          <w:sz w:val="24"/>
        </w:rPr>
      </w:pPr>
    </w:p>
    <w:p w14:paraId="2107BE3C" w14:textId="2C08889D" w:rsidR="00B41A51" w:rsidRPr="00A70914" w:rsidRDefault="00A70914" w:rsidP="001D758D">
      <w:pPr>
        <w:jc w:val="both"/>
      </w:pPr>
      <w:r w:rsidRPr="00796F97">
        <w:rPr>
          <w:b/>
          <w:bCs/>
          <w:i/>
          <w:iCs/>
          <w:sz w:val="24"/>
          <w:szCs w:val="16"/>
        </w:rPr>
        <w:lastRenderedPageBreak/>
        <w:t xml:space="preserve">Email completed form to </w:t>
      </w:r>
      <w:r w:rsidR="00075787">
        <w:rPr>
          <w:b/>
          <w:bCs/>
          <w:i/>
          <w:iCs/>
          <w:sz w:val="24"/>
          <w:szCs w:val="16"/>
        </w:rPr>
        <w:t>Al Rose</w:t>
      </w:r>
    </w:p>
    <w:sectPr w:rsidR="00B41A51" w:rsidRPr="00A70914" w:rsidSect="00E35AC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08C7E" w14:textId="77777777" w:rsidR="00F83F1B" w:rsidRDefault="00F83F1B" w:rsidP="00972BAB">
      <w:r>
        <w:separator/>
      </w:r>
    </w:p>
  </w:endnote>
  <w:endnote w:type="continuationSeparator" w:id="0">
    <w:p w14:paraId="4632179A" w14:textId="77777777" w:rsidR="00F83F1B" w:rsidRDefault="00F83F1B" w:rsidP="0097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DECD" w14:textId="6AA94E70" w:rsidR="00587B2E" w:rsidRPr="00587B2E" w:rsidRDefault="006B2EC5" w:rsidP="00587B2E">
    <w:pPr>
      <w:pStyle w:val="Header"/>
      <w:jc w:val="right"/>
      <w:rPr>
        <w:rFonts w:ascii="Arial" w:eastAsia="Calibri" w:hAnsi="Arial" w:cs="Arial"/>
        <w:sz w:val="20"/>
        <w:szCs w:val="20"/>
      </w:rPr>
    </w:pPr>
    <w:r>
      <w:rPr>
        <w:rFonts w:ascii="Arial" w:eastAsia="Calibri" w:hAnsi="Arial" w:cs="Arial"/>
        <w:noProof/>
        <w:sz w:val="20"/>
        <w:szCs w:val="20"/>
      </w:rPr>
      <w:pict w14:anchorId="7C330543">
        <v:shapetype id="_x0000_t202" coordsize="21600,21600" o:spt="202" path="m,l,21600r21600,l21600,xe">
          <v:stroke joinstyle="miter"/>
          <v:path gradientshapeok="t" o:connecttype="rect"/>
        </v:shapetype>
        <v:shape id="MSIPCM74124a35bd0e5e0fde7f1dcd" o:spid="_x0000_s2051" type="#_x0000_t202" alt="{&quot;HashCode&quot;:1068125706,&quot;Height&quot;:792.0,&quot;Width&quot;:612.0,&quot;Placement&quot;:&quot;Footer&quot;,&quot;Index&quot;:&quot;Primary&quot;,&quot;Section&quot;:1,&quot;Top&quot;:0.0,&quot;Left&quot;:0.0}" style="position:absolute;left:0;text-align:left;margin-left:0;margin-top:755.45pt;width:612pt;height:21.55pt;z-index:251661312;mso-wrap-style:square;mso-position-horizontal:absolute;mso-position-horizontal-relative:page;mso-position-vertical:absolute;mso-position-vertical-relative:page;v-text-anchor:bottom" o:allowincell="f" filled="f" stroked="f">
          <v:textbox inset="20pt,0,,0">
            <w:txbxContent>
              <w:p w14:paraId="45D0AB48" w14:textId="7147D0B4" w:rsidR="00BD5436" w:rsidRPr="00BD5436" w:rsidRDefault="00BD5436" w:rsidP="00BD5436">
                <w:pPr>
                  <w:rPr>
                    <w:rFonts w:ascii="Calibri" w:hAnsi="Calibri" w:cs="Calibri"/>
                    <w:color w:val="000000"/>
                  </w:rPr>
                </w:pPr>
                <w:r w:rsidRPr="00BD5436">
                  <w:rPr>
                    <w:rFonts w:ascii="Calibri" w:hAnsi="Calibri" w:cs="Calibri"/>
                    <w:color w:val="000000"/>
                  </w:rPr>
                  <w:t>NSF Confidential</w:t>
                </w:r>
              </w:p>
            </w:txbxContent>
          </v:textbox>
          <w10:wrap anchorx="page" anchory="page"/>
        </v:shape>
      </w:pict>
    </w:r>
    <w:r w:rsidR="00587B2E" w:rsidRPr="00587B2E">
      <w:rPr>
        <w:rFonts w:ascii="Arial" w:eastAsia="Calibri" w:hAnsi="Arial" w:cs="Arial"/>
        <w:sz w:val="20"/>
        <w:szCs w:val="20"/>
      </w:rPr>
      <w:t>Item No._______</w:t>
    </w:r>
  </w:p>
  <w:p w14:paraId="4D9C5CF3" w14:textId="77777777" w:rsidR="00587B2E" w:rsidRDefault="00587B2E" w:rsidP="00FA4854">
    <w:pPr>
      <w:pStyle w:val="Header"/>
      <w:jc w:val="right"/>
      <w:rPr>
        <w:rFonts w:ascii="Arial" w:hAnsi="Arial" w:cs="Arial"/>
        <w:sz w:val="20"/>
        <w:szCs w:val="20"/>
      </w:rPr>
    </w:pPr>
    <w:r w:rsidRPr="00587B2E">
      <w:rPr>
        <w:rFonts w:ascii="Arial" w:eastAsia="Calibri" w:hAnsi="Arial" w:cs="Arial"/>
        <w:sz w:val="20"/>
        <w:szCs w:val="20"/>
      </w:rPr>
      <w:t xml:space="preserve">(For </w:t>
    </w:r>
    <w:r w:rsidRPr="00587B2E">
      <w:rPr>
        <w:rFonts w:ascii="Arial" w:hAnsi="Arial" w:cs="Arial"/>
        <w:sz w:val="20"/>
        <w:szCs w:val="20"/>
      </w:rPr>
      <w:t>NSF International internal use)</w:t>
    </w:r>
  </w:p>
  <w:p w14:paraId="02A6C780" w14:textId="77777777" w:rsidR="00FA200E" w:rsidRDefault="00FA200E" w:rsidP="00FA4854">
    <w:pPr>
      <w:pStyle w:val="Header"/>
      <w:jc w:val="right"/>
    </w:pPr>
    <w:r>
      <w:rPr>
        <w:rFonts w:ascii="Arial" w:hAnsi="Arial" w:cs="Arial"/>
        <w:sz w:val="20"/>
        <w:szCs w:val="20"/>
      </w:rPr>
      <w:t>03/2013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9DAF0" w14:textId="77777777" w:rsidR="00F83F1B" w:rsidRDefault="00F83F1B" w:rsidP="00972BAB">
      <w:r>
        <w:separator/>
      </w:r>
    </w:p>
  </w:footnote>
  <w:footnote w:type="continuationSeparator" w:id="0">
    <w:p w14:paraId="157B04CB" w14:textId="77777777" w:rsidR="00F83F1B" w:rsidRDefault="00F83F1B" w:rsidP="00972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B7AD" w14:textId="77777777" w:rsidR="00972BAB" w:rsidRDefault="006B2EC5">
    <w:pPr>
      <w:pStyle w:val="Header"/>
    </w:pPr>
    <w:r>
      <w:rPr>
        <w:noProof/>
        <w:lang w:eastAsia="zh-TW"/>
      </w:rPr>
      <w:pict w14:anchorId="4CF2E828">
        <v:shapetype id="_x0000_t202" coordsize="21600,21600" o:spt="202" path="m,l,21600r21600,l21600,xe">
          <v:stroke joinstyle="miter"/>
          <v:path gradientshapeok="t" o:connecttype="rect"/>
        </v:shapetype>
        <v:shape id="_x0000_s2049" type="#_x0000_t202" style="position:absolute;margin-left:75pt;margin-top:15pt;width:342pt;height:34.8pt;z-index:251660288;mso-height-percent:200;mso-height-percent:200;mso-width-relative:margin;mso-height-relative:margin" stroked="f">
          <v:fill opacity="0"/>
          <v:textbox style="mso-fit-shape-to-text:t">
            <w:txbxContent>
              <w:p w14:paraId="7A5EDA72" w14:textId="77777777" w:rsidR="00972BAB" w:rsidRPr="00FA4854" w:rsidRDefault="00587B2E">
                <w:pPr>
                  <w:rPr>
                    <w:color w:val="FFFFFF" w:themeColor="background1"/>
                    <w:sz w:val="44"/>
                    <w:szCs w:val="44"/>
                  </w:rPr>
                </w:pPr>
                <w:r w:rsidRPr="00FA4854">
                  <w:rPr>
                    <w:color w:val="FFFFFF" w:themeColor="background1"/>
                    <w:sz w:val="44"/>
                    <w:szCs w:val="44"/>
                  </w:rPr>
                  <w:t xml:space="preserve">Joint Committee </w:t>
                </w:r>
                <w:r w:rsidR="00972BAB" w:rsidRPr="00FA4854">
                  <w:rPr>
                    <w:color w:val="FFFFFF" w:themeColor="background1"/>
                    <w:sz w:val="44"/>
                    <w:szCs w:val="44"/>
                  </w:rPr>
                  <w:t>Issue Paper</w:t>
                </w:r>
              </w:p>
            </w:txbxContent>
          </v:textbox>
        </v:shape>
      </w:pict>
    </w:r>
    <w:r w:rsidR="00972BAB">
      <w:rPr>
        <w:noProof/>
      </w:rPr>
      <w:drawing>
        <wp:inline distT="0" distB="0" distL="0" distR="0" wp14:anchorId="1DC1247E" wp14:editId="15A1C713">
          <wp:extent cx="5943600" cy="903194"/>
          <wp:effectExtent l="19050" t="0" r="0" b="0"/>
          <wp:docPr id="1" name="Picture 1" descr="C:\Documents and Settings\wilson\Local Settings\Temporary Internet Files\Content.Word\CORP - Standards E-Newsletter Header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ilson\Local Settings\Temporary Internet Files\Content.Word\CORP - Standards E-Newsletter Header_PORTRAIT.JPG"/>
                  <pic:cNvPicPr>
                    <a:picLocks noChangeAspect="1" noChangeArrowheads="1"/>
                  </pic:cNvPicPr>
                </pic:nvPicPr>
                <pic:blipFill>
                  <a:blip r:embed="rId1"/>
                  <a:srcRect/>
                  <a:stretch>
                    <a:fillRect/>
                  </a:stretch>
                </pic:blipFill>
                <pic:spPr bwMode="auto">
                  <a:xfrm>
                    <a:off x="0" y="0"/>
                    <a:ext cx="5943600" cy="903194"/>
                  </a:xfrm>
                  <a:prstGeom prst="rect">
                    <a:avLst/>
                  </a:prstGeom>
                  <a:noFill/>
                  <a:ln w="9525">
                    <a:noFill/>
                    <a:miter lim="800000"/>
                    <a:headEnd/>
                    <a:tailEnd/>
                  </a:ln>
                </pic:spPr>
              </pic:pic>
            </a:graphicData>
          </a:graphic>
        </wp:inline>
      </w:drawing>
    </w:r>
  </w:p>
  <w:p w14:paraId="3A9F2CDB" w14:textId="77777777" w:rsidR="00587B2E" w:rsidRPr="00587B2E" w:rsidRDefault="00587B2E" w:rsidP="00587B2E">
    <w:pPr>
      <w:pStyle w:val="Header"/>
      <w:jc w:val="right"/>
      <w:rPr>
        <w:rFonts w:ascii="Arial" w:hAnsi="Arial" w:cs="Arial"/>
        <w:sz w:val="20"/>
        <w:szCs w:val="2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38E"/>
    <w:multiLevelType w:val="multilevel"/>
    <w:tmpl w:val="F4F29BF4"/>
    <w:styleLink w:val="AnnexN-5"/>
    <w:lvl w:ilvl="0">
      <w:start w:val="1"/>
      <w:numFmt w:val="decimal"/>
      <w:lvlText w:val="N-5.%1"/>
      <w:lvlJc w:val="left"/>
      <w:pPr>
        <w:ind w:left="0" w:firstLine="0"/>
      </w:pPr>
      <w:rPr>
        <w:rFonts w:ascii="Arial" w:hAnsi="Arial" w:hint="default"/>
        <w:b/>
        <w:sz w:val="24"/>
      </w:rPr>
    </w:lvl>
    <w:lvl w:ilvl="1">
      <w:start w:val="1"/>
      <w:numFmt w:val="decimal"/>
      <w:lvlText w:val="N-5.%1.%2"/>
      <w:lvlJc w:val="left"/>
      <w:pPr>
        <w:ind w:left="0" w:firstLine="0"/>
      </w:pPr>
      <w:rPr>
        <w:rFonts w:ascii="Arial" w:hAnsi="Arial" w:hint="default"/>
        <w:b/>
        <w:sz w:val="20"/>
      </w:rPr>
    </w:lvl>
    <w:lvl w:ilvl="2">
      <w:start w:val="1"/>
      <w:numFmt w:val="decimal"/>
      <w:lvlText w:val="N-5.%1.%2.%3"/>
      <w:lvlJc w:val="left"/>
      <w:pPr>
        <w:ind w:left="0" w:firstLine="0"/>
      </w:pPr>
      <w:rPr>
        <w:rFonts w:ascii="Arial" w:hAnsi="Arial" w:hint="default"/>
        <w:b/>
        <w:sz w:val="20"/>
      </w:rPr>
    </w:lvl>
    <w:lvl w:ilvl="3">
      <w:start w:val="1"/>
      <w:numFmt w:val="decimal"/>
      <w:lvlText w:val="N-5.%1.%2.%3.%4"/>
      <w:lvlJc w:val="left"/>
      <w:pPr>
        <w:ind w:left="0" w:firstLine="0"/>
      </w:pPr>
      <w:rPr>
        <w:rFonts w:ascii="Arial" w:hAnsi="Arial" w:hint="default"/>
        <w:b/>
        <w:sz w:val="20"/>
      </w:rPr>
    </w:lvl>
    <w:lvl w:ilvl="4">
      <w:start w:val="1"/>
      <w:numFmt w:val="decimal"/>
      <w:lvlText w:val="N-5.%1.%2.%3.%4.%5"/>
      <w:lvlJc w:val="left"/>
      <w:pPr>
        <w:ind w:left="0" w:firstLine="0"/>
      </w:pPr>
      <w:rPr>
        <w:rFonts w:ascii="Arial" w:hAnsi="Arial" w:hint="default"/>
        <w:b/>
        <w:sz w:val="20"/>
      </w:rPr>
    </w:lvl>
    <w:lvl w:ilvl="5">
      <w:start w:val="1"/>
      <w:numFmt w:val="decimal"/>
      <w:lvlText w:val="N-5.%1.%2.%3.%4.%5.%6"/>
      <w:lvlJc w:val="left"/>
      <w:pPr>
        <w:ind w:left="0" w:firstLine="0"/>
      </w:pPr>
      <w:rPr>
        <w:rFonts w:ascii="Arial" w:hAnsi="Arial" w:hint="default"/>
        <w:b/>
        <w:sz w:val="20"/>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3883A82"/>
    <w:multiLevelType w:val="hybridMultilevel"/>
    <w:tmpl w:val="CDD6115A"/>
    <w:lvl w:ilvl="0" w:tplc="6480F9BC">
      <w:start w:val="7"/>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2123D8"/>
    <w:multiLevelType w:val="hybridMultilevel"/>
    <w:tmpl w:val="B4E65D12"/>
    <w:lvl w:ilvl="0" w:tplc="E1CCE5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472B7"/>
    <w:multiLevelType w:val="hybridMultilevel"/>
    <w:tmpl w:val="58B46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892B3A"/>
    <w:multiLevelType w:val="multilevel"/>
    <w:tmpl w:val="382A1AE8"/>
    <w:numStyleLink w:val="AnnexN-1"/>
  </w:abstractNum>
  <w:abstractNum w:abstractNumId="5" w15:restartNumberingAfterBreak="0">
    <w:nsid w:val="0B904517"/>
    <w:multiLevelType w:val="hybridMultilevel"/>
    <w:tmpl w:val="ABE2901A"/>
    <w:lvl w:ilvl="0" w:tplc="070E26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70257"/>
    <w:multiLevelType w:val="hybridMultilevel"/>
    <w:tmpl w:val="094038D2"/>
    <w:lvl w:ilvl="0" w:tplc="070E26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523EE4"/>
    <w:multiLevelType w:val="hybridMultilevel"/>
    <w:tmpl w:val="FAC88FBE"/>
    <w:lvl w:ilvl="0" w:tplc="070E26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DB0AA0"/>
    <w:multiLevelType w:val="hybridMultilevel"/>
    <w:tmpl w:val="B73C01F4"/>
    <w:lvl w:ilvl="0" w:tplc="F28A37DE">
      <w:start w:val="14"/>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0FF014B0"/>
    <w:multiLevelType w:val="hybridMultilevel"/>
    <w:tmpl w:val="A0A684C2"/>
    <w:lvl w:ilvl="0" w:tplc="070E262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71072"/>
    <w:multiLevelType w:val="hybridMultilevel"/>
    <w:tmpl w:val="30C4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177315"/>
    <w:multiLevelType w:val="hybridMultilevel"/>
    <w:tmpl w:val="721E58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A26F7"/>
    <w:multiLevelType w:val="hybridMultilevel"/>
    <w:tmpl w:val="F9C0CD86"/>
    <w:lvl w:ilvl="0" w:tplc="070E2622">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075EF3"/>
    <w:multiLevelType w:val="multilevel"/>
    <w:tmpl w:val="F4F29BF4"/>
    <w:numStyleLink w:val="AnnexN-5"/>
  </w:abstractNum>
  <w:abstractNum w:abstractNumId="14" w15:restartNumberingAfterBreak="0">
    <w:nsid w:val="20E52D75"/>
    <w:multiLevelType w:val="hybridMultilevel"/>
    <w:tmpl w:val="56A20758"/>
    <w:lvl w:ilvl="0" w:tplc="6480F9BC">
      <w:start w:val="7"/>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2627CC"/>
    <w:multiLevelType w:val="hybridMultilevel"/>
    <w:tmpl w:val="FE3A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B7BBD"/>
    <w:multiLevelType w:val="hybridMultilevel"/>
    <w:tmpl w:val="AA38C236"/>
    <w:lvl w:ilvl="0" w:tplc="070E26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AC606B"/>
    <w:multiLevelType w:val="hybridMultilevel"/>
    <w:tmpl w:val="8D80D732"/>
    <w:lvl w:ilvl="0" w:tplc="E1CCE5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17EF4"/>
    <w:multiLevelType w:val="hybridMultilevel"/>
    <w:tmpl w:val="5A141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EF0EB8"/>
    <w:multiLevelType w:val="hybridMultilevel"/>
    <w:tmpl w:val="9F62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B24254"/>
    <w:multiLevelType w:val="hybridMultilevel"/>
    <w:tmpl w:val="9D2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355018"/>
    <w:multiLevelType w:val="hybridMultilevel"/>
    <w:tmpl w:val="BB5E9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CA5B6A"/>
    <w:multiLevelType w:val="hybridMultilevel"/>
    <w:tmpl w:val="6B5E870C"/>
    <w:lvl w:ilvl="0" w:tplc="070E26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F061BB"/>
    <w:multiLevelType w:val="hybridMultilevel"/>
    <w:tmpl w:val="2E9EDE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544D02"/>
    <w:multiLevelType w:val="hybridMultilevel"/>
    <w:tmpl w:val="F82EB918"/>
    <w:lvl w:ilvl="0" w:tplc="070E26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2B29FC"/>
    <w:multiLevelType w:val="multilevel"/>
    <w:tmpl w:val="80583E6E"/>
    <w:styleLink w:val="AnnexA"/>
    <w:lvl w:ilvl="0">
      <w:start w:val="1"/>
      <w:numFmt w:val="decimal"/>
      <w:lvlText w:val="A.%1"/>
      <w:lvlJc w:val="left"/>
      <w:pPr>
        <w:ind w:left="0" w:firstLine="0"/>
      </w:pPr>
      <w:rPr>
        <w:rFonts w:ascii="Arial" w:hAnsi="Arial" w:hint="default"/>
        <w:b/>
        <w:sz w:val="24"/>
      </w:rPr>
    </w:lvl>
    <w:lvl w:ilvl="1">
      <w:start w:val="1"/>
      <w:numFmt w:val="decimal"/>
      <w:lvlText w:val="A.%1.%2"/>
      <w:lvlJc w:val="left"/>
      <w:pPr>
        <w:ind w:left="0" w:firstLine="0"/>
      </w:pPr>
      <w:rPr>
        <w:rFonts w:ascii="Arial" w:hAnsi="Arial" w:hint="default"/>
        <w:b/>
        <w:sz w:val="20"/>
      </w:rPr>
    </w:lvl>
    <w:lvl w:ilvl="2">
      <w:start w:val="1"/>
      <w:numFmt w:val="decimal"/>
      <w:lvlText w:val="A.%1.%2.%3"/>
      <w:lvlJc w:val="left"/>
      <w:pPr>
        <w:ind w:left="0" w:firstLine="0"/>
      </w:pPr>
      <w:rPr>
        <w:rFonts w:ascii="Arial" w:hAnsi="Arial" w:hint="default"/>
        <w:b/>
        <w:sz w:val="20"/>
      </w:rPr>
    </w:lvl>
    <w:lvl w:ilvl="3">
      <w:start w:val="1"/>
      <w:numFmt w:val="decimal"/>
      <w:lvlText w:val="A.%1.%2.%3.%4"/>
      <w:lvlJc w:val="left"/>
      <w:pPr>
        <w:ind w:left="0" w:firstLine="0"/>
      </w:pPr>
      <w:rPr>
        <w:rFonts w:ascii="Arial" w:hAnsi="Arial" w:hint="default"/>
        <w:b/>
        <w:sz w:val="20"/>
      </w:rPr>
    </w:lvl>
    <w:lvl w:ilvl="4">
      <w:start w:val="1"/>
      <w:numFmt w:val="decimal"/>
      <w:lvlText w:val="A.%1.%2.%3.%4.%5"/>
      <w:lvlJc w:val="left"/>
      <w:pPr>
        <w:ind w:left="0" w:firstLine="0"/>
      </w:pPr>
      <w:rPr>
        <w:rFonts w:ascii="Arial" w:hAnsi="Arial" w:hint="default"/>
        <w:b/>
        <w:sz w:val="20"/>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3BA86D79"/>
    <w:multiLevelType w:val="hybridMultilevel"/>
    <w:tmpl w:val="7FEC2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BD086E"/>
    <w:multiLevelType w:val="multilevel"/>
    <w:tmpl w:val="382A1AE8"/>
    <w:styleLink w:val="AnnexN-1"/>
    <w:lvl w:ilvl="0">
      <w:start w:val="1"/>
      <w:numFmt w:val="decimal"/>
      <w:lvlText w:val="N-1.%1"/>
      <w:lvlJc w:val="left"/>
      <w:pPr>
        <w:ind w:left="0" w:firstLine="0"/>
      </w:pPr>
      <w:rPr>
        <w:rFonts w:ascii="Arial" w:hAnsi="Arial" w:hint="default"/>
        <w:b/>
        <w:sz w:val="24"/>
      </w:rPr>
    </w:lvl>
    <w:lvl w:ilvl="1">
      <w:start w:val="1"/>
      <w:numFmt w:val="decimal"/>
      <w:lvlText w:val="N-1.%1.%2"/>
      <w:lvlJc w:val="left"/>
      <w:pPr>
        <w:ind w:left="0" w:firstLine="0"/>
      </w:pPr>
      <w:rPr>
        <w:rFonts w:ascii="Arial" w:hAnsi="Arial" w:hint="default"/>
        <w:b/>
        <w:sz w:val="20"/>
      </w:rPr>
    </w:lvl>
    <w:lvl w:ilvl="2">
      <w:start w:val="1"/>
      <w:numFmt w:val="decimal"/>
      <w:lvlText w:val="N-1.%1.%2.%3"/>
      <w:lvlJc w:val="left"/>
      <w:pPr>
        <w:ind w:left="0" w:firstLine="0"/>
      </w:pPr>
      <w:rPr>
        <w:rFonts w:ascii="Arial" w:hAnsi="Arial" w:hint="default"/>
        <w:b/>
        <w:sz w:val="20"/>
      </w:rPr>
    </w:lvl>
    <w:lvl w:ilvl="3">
      <w:start w:val="1"/>
      <w:numFmt w:val="decimal"/>
      <w:lvlText w:val="N-1.%1.%2.%3.%4"/>
      <w:lvlJc w:val="left"/>
      <w:pPr>
        <w:ind w:left="0" w:firstLine="0"/>
      </w:pPr>
      <w:rPr>
        <w:rFonts w:ascii="Arial" w:hAnsi="Arial" w:hint="default"/>
        <w:b/>
        <w:sz w:val="20"/>
      </w:rPr>
    </w:lvl>
    <w:lvl w:ilvl="4">
      <w:start w:val="1"/>
      <w:numFmt w:val="decimal"/>
      <w:lvlText w:val="N-1.%1.%2.%3.%4.%5"/>
      <w:lvlJc w:val="left"/>
      <w:pPr>
        <w:ind w:left="0" w:firstLine="0"/>
      </w:pPr>
      <w:rPr>
        <w:rFonts w:ascii="Arial" w:hAnsi="Arial" w:hint="default"/>
        <w:b/>
        <w:sz w:val="20"/>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402504EB"/>
    <w:multiLevelType w:val="hybridMultilevel"/>
    <w:tmpl w:val="C2D03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C623F9"/>
    <w:multiLevelType w:val="hybridMultilevel"/>
    <w:tmpl w:val="A524F4C0"/>
    <w:lvl w:ilvl="0" w:tplc="070E26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96D10C5"/>
    <w:multiLevelType w:val="hybridMultilevel"/>
    <w:tmpl w:val="F3F6D5AC"/>
    <w:lvl w:ilvl="0" w:tplc="070E26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B50D53"/>
    <w:multiLevelType w:val="hybridMultilevel"/>
    <w:tmpl w:val="D314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2E7347"/>
    <w:multiLevelType w:val="hybridMultilevel"/>
    <w:tmpl w:val="791235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33D39"/>
    <w:multiLevelType w:val="hybridMultilevel"/>
    <w:tmpl w:val="E4F073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01659A"/>
    <w:multiLevelType w:val="hybridMultilevel"/>
    <w:tmpl w:val="160E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7A3305"/>
    <w:multiLevelType w:val="hybridMultilevel"/>
    <w:tmpl w:val="E040B4B2"/>
    <w:lvl w:ilvl="0" w:tplc="F236C822">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FE934E5"/>
    <w:multiLevelType w:val="hybridMultilevel"/>
    <w:tmpl w:val="D042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5672C3"/>
    <w:multiLevelType w:val="hybridMultilevel"/>
    <w:tmpl w:val="DAA4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5C4482"/>
    <w:multiLevelType w:val="hybridMultilevel"/>
    <w:tmpl w:val="E65CE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3333B4"/>
    <w:multiLevelType w:val="hybridMultilevel"/>
    <w:tmpl w:val="9EAEEAB6"/>
    <w:lvl w:ilvl="0" w:tplc="6480F9BC">
      <w:start w:val="7"/>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7805CE2"/>
    <w:multiLevelType w:val="hybridMultilevel"/>
    <w:tmpl w:val="455E7F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957834"/>
    <w:multiLevelType w:val="hybridMultilevel"/>
    <w:tmpl w:val="7D023F00"/>
    <w:lvl w:ilvl="0" w:tplc="50D2F144">
      <w:start w:val="1"/>
      <w:numFmt w:val="bullet"/>
      <w:pStyle w:val="center1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617A58"/>
    <w:multiLevelType w:val="hybridMultilevel"/>
    <w:tmpl w:val="A30C7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C63877"/>
    <w:multiLevelType w:val="hybridMultilevel"/>
    <w:tmpl w:val="FEB642B8"/>
    <w:lvl w:ilvl="0" w:tplc="6480F9BC">
      <w:start w:val="7"/>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336417E"/>
    <w:multiLevelType w:val="hybridMultilevel"/>
    <w:tmpl w:val="4F52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5169FA"/>
    <w:multiLevelType w:val="hybridMultilevel"/>
    <w:tmpl w:val="CF48A39C"/>
    <w:lvl w:ilvl="0" w:tplc="070E26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62F4DBA"/>
    <w:multiLevelType w:val="hybridMultilevel"/>
    <w:tmpl w:val="3CE2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D25FEE"/>
    <w:multiLevelType w:val="multilevel"/>
    <w:tmpl w:val="80583E6E"/>
    <w:numStyleLink w:val="AnnexA"/>
  </w:abstractNum>
  <w:abstractNum w:abstractNumId="48" w15:restartNumberingAfterBreak="0">
    <w:nsid w:val="7DF3369D"/>
    <w:multiLevelType w:val="hybridMultilevel"/>
    <w:tmpl w:val="B2C0011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493372998">
    <w:abstractNumId w:val="39"/>
  </w:num>
  <w:num w:numId="2" w16cid:durableId="225335001">
    <w:abstractNumId w:val="26"/>
  </w:num>
  <w:num w:numId="3" w16cid:durableId="2079552227">
    <w:abstractNumId w:val="15"/>
  </w:num>
  <w:num w:numId="4" w16cid:durableId="2137285834">
    <w:abstractNumId w:val="44"/>
  </w:num>
  <w:num w:numId="5" w16cid:durableId="1899902977">
    <w:abstractNumId w:val="25"/>
  </w:num>
  <w:num w:numId="6" w16cid:durableId="162286276">
    <w:abstractNumId w:val="47"/>
  </w:num>
  <w:num w:numId="7" w16cid:durableId="2104521750">
    <w:abstractNumId w:val="35"/>
  </w:num>
  <w:num w:numId="8" w16cid:durableId="1861430681">
    <w:abstractNumId w:val="11"/>
  </w:num>
  <w:num w:numId="9" w16cid:durableId="1796562887">
    <w:abstractNumId w:val="14"/>
  </w:num>
  <w:num w:numId="10" w16cid:durableId="385614297">
    <w:abstractNumId w:val="43"/>
  </w:num>
  <w:num w:numId="11" w16cid:durableId="945429788">
    <w:abstractNumId w:val="45"/>
  </w:num>
  <w:num w:numId="12" w16cid:durableId="562452624">
    <w:abstractNumId w:val="6"/>
  </w:num>
  <w:num w:numId="13" w16cid:durableId="1160118526">
    <w:abstractNumId w:val="7"/>
  </w:num>
  <w:num w:numId="14" w16cid:durableId="1673020626">
    <w:abstractNumId w:val="5"/>
  </w:num>
  <w:num w:numId="15" w16cid:durableId="2038852719">
    <w:abstractNumId w:val="22"/>
  </w:num>
  <w:num w:numId="16" w16cid:durableId="841895701">
    <w:abstractNumId w:val="16"/>
  </w:num>
  <w:num w:numId="17" w16cid:durableId="315112250">
    <w:abstractNumId w:val="29"/>
  </w:num>
  <w:num w:numId="18" w16cid:durableId="1196653127">
    <w:abstractNumId w:val="48"/>
  </w:num>
  <w:num w:numId="19" w16cid:durableId="916550829">
    <w:abstractNumId w:val="33"/>
  </w:num>
  <w:num w:numId="20" w16cid:durableId="681006504">
    <w:abstractNumId w:val="12"/>
  </w:num>
  <w:num w:numId="21" w16cid:durableId="136265448">
    <w:abstractNumId w:val="23"/>
  </w:num>
  <w:num w:numId="22" w16cid:durableId="1675261953">
    <w:abstractNumId w:val="42"/>
  </w:num>
  <w:num w:numId="23" w16cid:durableId="250703536">
    <w:abstractNumId w:val="20"/>
  </w:num>
  <w:num w:numId="24" w16cid:durableId="1635136053">
    <w:abstractNumId w:val="27"/>
  </w:num>
  <w:num w:numId="25" w16cid:durableId="531966212">
    <w:abstractNumId w:val="4"/>
  </w:num>
  <w:num w:numId="26" w16cid:durableId="773288683">
    <w:abstractNumId w:val="30"/>
  </w:num>
  <w:num w:numId="27" w16cid:durableId="332343324">
    <w:abstractNumId w:val="32"/>
  </w:num>
  <w:num w:numId="28" w16cid:durableId="1126853949">
    <w:abstractNumId w:val="24"/>
  </w:num>
  <w:num w:numId="29" w16cid:durableId="967205709">
    <w:abstractNumId w:val="9"/>
  </w:num>
  <w:num w:numId="30" w16cid:durableId="1570533325">
    <w:abstractNumId w:val="21"/>
  </w:num>
  <w:num w:numId="31" w16cid:durableId="1605578609">
    <w:abstractNumId w:val="37"/>
  </w:num>
  <w:num w:numId="32" w16cid:durableId="1723408620">
    <w:abstractNumId w:val="18"/>
  </w:num>
  <w:num w:numId="33" w16cid:durableId="1983584406">
    <w:abstractNumId w:val="28"/>
  </w:num>
  <w:num w:numId="34" w16cid:durableId="1346588625">
    <w:abstractNumId w:val="2"/>
  </w:num>
  <w:num w:numId="35" w16cid:durableId="975990349">
    <w:abstractNumId w:val="41"/>
  </w:num>
  <w:num w:numId="36" w16cid:durableId="905261388">
    <w:abstractNumId w:val="46"/>
  </w:num>
  <w:num w:numId="37" w16cid:durableId="851649837">
    <w:abstractNumId w:val="40"/>
  </w:num>
  <w:num w:numId="38" w16cid:durableId="1484545426">
    <w:abstractNumId w:val="0"/>
  </w:num>
  <w:num w:numId="39" w16cid:durableId="68961822">
    <w:abstractNumId w:val="13"/>
  </w:num>
  <w:num w:numId="40" w16cid:durableId="799566486">
    <w:abstractNumId w:val="1"/>
  </w:num>
  <w:num w:numId="41" w16cid:durableId="1069309268">
    <w:abstractNumId w:val="17"/>
  </w:num>
  <w:num w:numId="42" w16cid:durableId="182473935">
    <w:abstractNumId w:val="36"/>
  </w:num>
  <w:num w:numId="43" w16cid:durableId="271401358">
    <w:abstractNumId w:val="19"/>
  </w:num>
  <w:num w:numId="44" w16cid:durableId="1417898268">
    <w:abstractNumId w:val="10"/>
  </w:num>
  <w:num w:numId="45" w16cid:durableId="1531068628">
    <w:abstractNumId w:val="34"/>
  </w:num>
  <w:num w:numId="46" w16cid:durableId="1332760883">
    <w:abstractNumId w:val="31"/>
  </w:num>
  <w:num w:numId="47" w16cid:durableId="1512452454">
    <w:abstractNumId w:val="38"/>
  </w:num>
  <w:num w:numId="48" w16cid:durableId="178859517">
    <w:abstractNumId w:val="3"/>
  </w:num>
  <w:num w:numId="49" w16cid:durableId="2076005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2BAB"/>
    <w:rsid w:val="0000183A"/>
    <w:rsid w:val="00005E6D"/>
    <w:rsid w:val="00010D15"/>
    <w:rsid w:val="000725CB"/>
    <w:rsid w:val="00075787"/>
    <w:rsid w:val="0008115C"/>
    <w:rsid w:val="0008195E"/>
    <w:rsid w:val="000B3061"/>
    <w:rsid w:val="000E2FB8"/>
    <w:rsid w:val="000F0714"/>
    <w:rsid w:val="000F7A74"/>
    <w:rsid w:val="001A18C3"/>
    <w:rsid w:val="001A2133"/>
    <w:rsid w:val="001B125C"/>
    <w:rsid w:val="001C1C4E"/>
    <w:rsid w:val="001D758D"/>
    <w:rsid w:val="00212469"/>
    <w:rsid w:val="00244690"/>
    <w:rsid w:val="00260660"/>
    <w:rsid w:val="0026574C"/>
    <w:rsid w:val="00267C40"/>
    <w:rsid w:val="002713E9"/>
    <w:rsid w:val="002A710E"/>
    <w:rsid w:val="002B3C4E"/>
    <w:rsid w:val="002C1750"/>
    <w:rsid w:val="002E12CE"/>
    <w:rsid w:val="002F117A"/>
    <w:rsid w:val="002F6D7E"/>
    <w:rsid w:val="00300261"/>
    <w:rsid w:val="00321896"/>
    <w:rsid w:val="00334B34"/>
    <w:rsid w:val="003819FC"/>
    <w:rsid w:val="003970AC"/>
    <w:rsid w:val="003B2174"/>
    <w:rsid w:val="003B6EAF"/>
    <w:rsid w:val="00470108"/>
    <w:rsid w:val="004C6835"/>
    <w:rsid w:val="004F1F3C"/>
    <w:rsid w:val="004F4479"/>
    <w:rsid w:val="00514A2D"/>
    <w:rsid w:val="005305EC"/>
    <w:rsid w:val="005319AB"/>
    <w:rsid w:val="005631CB"/>
    <w:rsid w:val="00586AB6"/>
    <w:rsid w:val="00586C5D"/>
    <w:rsid w:val="0058740E"/>
    <w:rsid w:val="00587B2E"/>
    <w:rsid w:val="00612A21"/>
    <w:rsid w:val="006518E8"/>
    <w:rsid w:val="006B2EC5"/>
    <w:rsid w:val="00701721"/>
    <w:rsid w:val="00711318"/>
    <w:rsid w:val="0071366E"/>
    <w:rsid w:val="00740C9B"/>
    <w:rsid w:val="00745848"/>
    <w:rsid w:val="007A215E"/>
    <w:rsid w:val="007C519A"/>
    <w:rsid w:val="007E4FDA"/>
    <w:rsid w:val="007F24A2"/>
    <w:rsid w:val="00804CCC"/>
    <w:rsid w:val="00821FFD"/>
    <w:rsid w:val="008459F7"/>
    <w:rsid w:val="00854B47"/>
    <w:rsid w:val="00883B18"/>
    <w:rsid w:val="008854D9"/>
    <w:rsid w:val="008D4432"/>
    <w:rsid w:val="00903980"/>
    <w:rsid w:val="00970557"/>
    <w:rsid w:val="00972BAB"/>
    <w:rsid w:val="00991DD2"/>
    <w:rsid w:val="009A648A"/>
    <w:rsid w:val="009B0250"/>
    <w:rsid w:val="009D13FB"/>
    <w:rsid w:val="009F7823"/>
    <w:rsid w:val="00A23507"/>
    <w:rsid w:val="00A64856"/>
    <w:rsid w:val="00A70914"/>
    <w:rsid w:val="00A774E5"/>
    <w:rsid w:val="00A80A11"/>
    <w:rsid w:val="00AA01D6"/>
    <w:rsid w:val="00B23A53"/>
    <w:rsid w:val="00B71A4F"/>
    <w:rsid w:val="00BA02A2"/>
    <w:rsid w:val="00BD5436"/>
    <w:rsid w:val="00BD6C2E"/>
    <w:rsid w:val="00BE5741"/>
    <w:rsid w:val="00BF5071"/>
    <w:rsid w:val="00C3189C"/>
    <w:rsid w:val="00C3258A"/>
    <w:rsid w:val="00C548C7"/>
    <w:rsid w:val="00C5622C"/>
    <w:rsid w:val="00C67D7D"/>
    <w:rsid w:val="00C8576A"/>
    <w:rsid w:val="00CD00C0"/>
    <w:rsid w:val="00CE6402"/>
    <w:rsid w:val="00D22B62"/>
    <w:rsid w:val="00D614DE"/>
    <w:rsid w:val="00D75074"/>
    <w:rsid w:val="00D86DF5"/>
    <w:rsid w:val="00DB094A"/>
    <w:rsid w:val="00DB3B37"/>
    <w:rsid w:val="00E35AC7"/>
    <w:rsid w:val="00E51296"/>
    <w:rsid w:val="00EA38F3"/>
    <w:rsid w:val="00EF5D2C"/>
    <w:rsid w:val="00F34BA3"/>
    <w:rsid w:val="00F83F1B"/>
    <w:rsid w:val="00F97884"/>
    <w:rsid w:val="00FA200E"/>
    <w:rsid w:val="00FA4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31313E8"/>
  <w15:docId w15:val="{FA367105-710E-4283-8AE6-29F4EC59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B2E"/>
    <w:pPr>
      <w:spacing w:after="0" w:line="240" w:lineRule="auto"/>
    </w:pPr>
    <w:rPr>
      <w:rFonts w:ascii="Arial" w:eastAsia="Times New Roman" w:hAnsi="Arial" w:cs="Times New Roman"/>
      <w:sz w:val="20"/>
      <w:szCs w:val="24"/>
    </w:rPr>
  </w:style>
  <w:style w:type="paragraph" w:styleId="Heading3">
    <w:name w:val="heading 3"/>
    <w:basedOn w:val="Normal"/>
    <w:next w:val="Normal"/>
    <w:link w:val="Heading3Char"/>
    <w:qFormat/>
    <w:rsid w:val="00587B2E"/>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BA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72BAB"/>
  </w:style>
  <w:style w:type="paragraph" w:styleId="Footer">
    <w:name w:val="footer"/>
    <w:basedOn w:val="Normal"/>
    <w:link w:val="FooterChar"/>
    <w:uiPriority w:val="99"/>
    <w:unhideWhenUsed/>
    <w:rsid w:val="00972BA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72BAB"/>
  </w:style>
  <w:style w:type="paragraph" w:styleId="BalloonText">
    <w:name w:val="Balloon Text"/>
    <w:basedOn w:val="Normal"/>
    <w:link w:val="BalloonTextChar"/>
    <w:uiPriority w:val="99"/>
    <w:semiHidden/>
    <w:unhideWhenUsed/>
    <w:rsid w:val="00972BA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72BAB"/>
    <w:rPr>
      <w:rFonts w:ascii="Tahoma" w:hAnsi="Tahoma" w:cs="Tahoma"/>
      <w:sz w:val="16"/>
      <w:szCs w:val="16"/>
    </w:rPr>
  </w:style>
  <w:style w:type="character" w:customStyle="1" w:styleId="Heading3Char">
    <w:name w:val="Heading 3 Char"/>
    <w:basedOn w:val="DefaultParagraphFont"/>
    <w:link w:val="Heading3"/>
    <w:rsid w:val="00587B2E"/>
    <w:rPr>
      <w:rFonts w:ascii="Arial" w:eastAsia="Times New Roman" w:hAnsi="Arial" w:cs="Times New Roman"/>
      <w:i/>
      <w:iCs/>
      <w:sz w:val="20"/>
      <w:szCs w:val="24"/>
    </w:rPr>
  </w:style>
  <w:style w:type="paragraph" w:styleId="BodyText2">
    <w:name w:val="Body Text 2"/>
    <w:basedOn w:val="Normal"/>
    <w:link w:val="BodyText2Char"/>
    <w:semiHidden/>
    <w:rsid w:val="00587B2E"/>
    <w:rPr>
      <w:b/>
      <w:bCs/>
      <w:i/>
      <w:iCs/>
      <w:sz w:val="24"/>
    </w:rPr>
  </w:style>
  <w:style w:type="character" w:customStyle="1" w:styleId="BodyText2Char">
    <w:name w:val="Body Text 2 Char"/>
    <w:basedOn w:val="DefaultParagraphFont"/>
    <w:link w:val="BodyText2"/>
    <w:semiHidden/>
    <w:rsid w:val="00587B2E"/>
    <w:rPr>
      <w:rFonts w:ascii="Arial" w:eastAsia="Times New Roman" w:hAnsi="Arial" w:cs="Times New Roman"/>
      <w:b/>
      <w:bCs/>
      <w:i/>
      <w:iCs/>
      <w:sz w:val="24"/>
      <w:szCs w:val="24"/>
    </w:rPr>
  </w:style>
  <w:style w:type="character" w:styleId="Hyperlink">
    <w:name w:val="Hyperlink"/>
    <w:basedOn w:val="DefaultParagraphFont"/>
    <w:uiPriority w:val="99"/>
    <w:unhideWhenUsed/>
    <w:rsid w:val="00AA01D6"/>
    <w:rPr>
      <w:color w:val="0000FF" w:themeColor="hyperlink"/>
      <w:u w:val="single"/>
    </w:rPr>
  </w:style>
  <w:style w:type="paragraph" w:styleId="BodyTextIndent">
    <w:name w:val="Body Text Indent"/>
    <w:basedOn w:val="Normal"/>
    <w:link w:val="BodyTextIndentChar"/>
    <w:uiPriority w:val="99"/>
    <w:semiHidden/>
    <w:unhideWhenUsed/>
    <w:rsid w:val="004F1F3C"/>
    <w:pPr>
      <w:spacing w:after="120"/>
      <w:ind w:left="360"/>
    </w:pPr>
  </w:style>
  <w:style w:type="character" w:customStyle="1" w:styleId="BodyTextIndentChar">
    <w:name w:val="Body Text Indent Char"/>
    <w:basedOn w:val="DefaultParagraphFont"/>
    <w:link w:val="BodyTextIndent"/>
    <w:uiPriority w:val="99"/>
    <w:semiHidden/>
    <w:rsid w:val="004F1F3C"/>
    <w:rPr>
      <w:rFonts w:ascii="Arial" w:eastAsia="Times New Roman" w:hAnsi="Arial" w:cs="Times New Roman"/>
      <w:sz w:val="20"/>
      <w:szCs w:val="24"/>
    </w:rPr>
  </w:style>
  <w:style w:type="paragraph" w:customStyle="1" w:styleId="ansi10normal">
    <w:name w:val="ansi 10 normal"/>
    <w:basedOn w:val="Normal"/>
    <w:link w:val="ansi10normalChar"/>
    <w:qFormat/>
    <w:rsid w:val="00BF5071"/>
    <w:pPr>
      <w:tabs>
        <w:tab w:val="left" w:pos="360"/>
        <w:tab w:val="left" w:pos="720"/>
        <w:tab w:val="left" w:pos="1080"/>
        <w:tab w:val="left" w:pos="1440"/>
        <w:tab w:val="left" w:pos="1800"/>
        <w:tab w:val="left" w:pos="2160"/>
      </w:tabs>
      <w:autoSpaceDE w:val="0"/>
      <w:autoSpaceDN w:val="0"/>
      <w:adjustRightInd w:val="0"/>
      <w:jc w:val="both"/>
    </w:pPr>
    <w:rPr>
      <w:rFonts w:cs="Arial"/>
      <w:noProof/>
      <w:snapToGrid w:val="0"/>
      <w:szCs w:val="20"/>
    </w:rPr>
  </w:style>
  <w:style w:type="character" w:customStyle="1" w:styleId="ansi10normalChar">
    <w:name w:val="ansi 10 normal Char"/>
    <w:basedOn w:val="DefaultParagraphFont"/>
    <w:link w:val="ansi10normal"/>
    <w:rsid w:val="00BF5071"/>
    <w:rPr>
      <w:rFonts w:ascii="Arial" w:eastAsia="Times New Roman" w:hAnsi="Arial" w:cs="Arial"/>
      <w:noProof/>
      <w:snapToGrid w:val="0"/>
      <w:sz w:val="20"/>
      <w:szCs w:val="20"/>
    </w:rPr>
  </w:style>
  <w:style w:type="paragraph" w:styleId="ListParagraph">
    <w:name w:val="List Paragraph"/>
    <w:basedOn w:val="Normal"/>
    <w:uiPriority w:val="34"/>
    <w:qFormat/>
    <w:rsid w:val="009A648A"/>
    <w:pPr>
      <w:ind w:left="720"/>
      <w:contextualSpacing/>
    </w:pPr>
  </w:style>
  <w:style w:type="character" w:styleId="FootnoteReference">
    <w:name w:val="footnote reference"/>
    <w:uiPriority w:val="99"/>
    <w:rsid w:val="00E51296"/>
  </w:style>
  <w:style w:type="paragraph" w:styleId="FootnoteText">
    <w:name w:val="footnote text"/>
    <w:aliases w:val="ANSIFootnote Text"/>
    <w:basedOn w:val="Normal"/>
    <w:link w:val="FootnoteTextChar"/>
    <w:semiHidden/>
    <w:rsid w:val="00E51296"/>
    <w:pPr>
      <w:widowControl w:val="0"/>
    </w:pPr>
    <w:rPr>
      <w:rFonts w:cs="Arial"/>
      <w:noProof/>
      <w:snapToGrid w:val="0"/>
      <w:sz w:val="18"/>
      <w:szCs w:val="20"/>
    </w:rPr>
  </w:style>
  <w:style w:type="character" w:customStyle="1" w:styleId="FootnoteTextChar">
    <w:name w:val="Footnote Text Char"/>
    <w:aliases w:val="ANSIFootnote Text Char"/>
    <w:basedOn w:val="DefaultParagraphFont"/>
    <w:link w:val="FootnoteText"/>
    <w:semiHidden/>
    <w:rsid w:val="00E51296"/>
    <w:rPr>
      <w:rFonts w:ascii="Arial" w:eastAsia="Times New Roman" w:hAnsi="Arial" w:cs="Arial"/>
      <w:noProof/>
      <w:snapToGrid w:val="0"/>
      <w:sz w:val="18"/>
      <w:szCs w:val="20"/>
    </w:rPr>
  </w:style>
  <w:style w:type="numbering" w:customStyle="1" w:styleId="AnnexA">
    <w:name w:val="Annex A"/>
    <w:uiPriority w:val="99"/>
    <w:rsid w:val="00E51296"/>
    <w:pPr>
      <w:numPr>
        <w:numId w:val="5"/>
      </w:numPr>
    </w:pPr>
  </w:style>
  <w:style w:type="character" w:styleId="Emphasis">
    <w:name w:val="Emphasis"/>
    <w:basedOn w:val="DefaultParagraphFont"/>
    <w:uiPriority w:val="20"/>
    <w:qFormat/>
    <w:rsid w:val="000B3061"/>
    <w:rPr>
      <w:i/>
      <w:iCs/>
    </w:rPr>
  </w:style>
  <w:style w:type="paragraph" w:styleId="CommentText">
    <w:name w:val="annotation text"/>
    <w:basedOn w:val="Normal"/>
    <w:link w:val="CommentTextChar"/>
    <w:rsid w:val="00A23507"/>
    <w:rPr>
      <w:rFonts w:cs="Arial"/>
      <w:noProof/>
      <w:szCs w:val="20"/>
    </w:rPr>
  </w:style>
  <w:style w:type="character" w:customStyle="1" w:styleId="CommentTextChar">
    <w:name w:val="Comment Text Char"/>
    <w:basedOn w:val="DefaultParagraphFont"/>
    <w:link w:val="CommentText"/>
    <w:rsid w:val="00A23507"/>
    <w:rPr>
      <w:rFonts w:ascii="Arial" w:eastAsia="Times New Roman" w:hAnsi="Arial" w:cs="Arial"/>
      <w:noProof/>
      <w:sz w:val="20"/>
      <w:szCs w:val="20"/>
    </w:rPr>
  </w:style>
  <w:style w:type="character" w:styleId="CommentReference">
    <w:name w:val="annotation reference"/>
    <w:basedOn w:val="DefaultParagraphFont"/>
    <w:rsid w:val="00A23507"/>
    <w:rPr>
      <w:sz w:val="16"/>
      <w:szCs w:val="16"/>
    </w:rPr>
  </w:style>
  <w:style w:type="numbering" w:customStyle="1" w:styleId="AnnexN-1">
    <w:name w:val="Annex N-1"/>
    <w:uiPriority w:val="99"/>
    <w:rsid w:val="00A23507"/>
    <w:pPr>
      <w:numPr>
        <w:numId w:val="24"/>
      </w:numPr>
    </w:pPr>
  </w:style>
  <w:style w:type="paragraph" w:customStyle="1" w:styleId="center10">
    <w:name w:val="center 10"/>
    <w:basedOn w:val="Normal"/>
    <w:autoRedefine/>
    <w:rsid w:val="001B125C"/>
    <w:pPr>
      <w:widowControl w:val="0"/>
      <w:numPr>
        <w:numId w:val="35"/>
      </w:numPr>
      <w:ind w:left="360" w:firstLine="0"/>
      <w:jc w:val="both"/>
    </w:pPr>
    <w:rPr>
      <w:rFonts w:cs="Arial"/>
      <w:noProof/>
      <w:snapToGrid w:val="0"/>
      <w:szCs w:val="20"/>
    </w:rPr>
  </w:style>
  <w:style w:type="paragraph" w:customStyle="1" w:styleId="ansinote">
    <w:name w:val="ansi note"/>
    <w:basedOn w:val="Normal"/>
    <w:rsid w:val="001B125C"/>
    <w:pPr>
      <w:ind w:left="720"/>
    </w:pPr>
    <w:rPr>
      <w:rFonts w:cs="Arial"/>
      <w:bCs/>
      <w:noProof/>
      <w:sz w:val="18"/>
      <w:szCs w:val="20"/>
    </w:rPr>
  </w:style>
  <w:style w:type="numbering" w:customStyle="1" w:styleId="AnnexN-5">
    <w:name w:val="Annex N-5"/>
    <w:uiPriority w:val="99"/>
    <w:rsid w:val="003819FC"/>
    <w:pPr>
      <w:numPr>
        <w:numId w:val="38"/>
      </w:numPr>
    </w:pPr>
  </w:style>
  <w:style w:type="paragraph" w:customStyle="1" w:styleId="ansiindent">
    <w:name w:val="ansi indent"/>
    <w:basedOn w:val="Normal"/>
    <w:rsid w:val="00CE6402"/>
    <w:pPr>
      <w:ind w:left="720"/>
    </w:pPr>
    <w:rPr>
      <w:rFonts w:cs="Arial"/>
      <w:bCs/>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92547">
      <w:bodyDiv w:val="1"/>
      <w:marLeft w:val="0"/>
      <w:marRight w:val="0"/>
      <w:marTop w:val="0"/>
      <w:marBottom w:val="0"/>
      <w:divBdr>
        <w:top w:val="none" w:sz="0" w:space="0" w:color="auto"/>
        <w:left w:val="none" w:sz="0" w:space="0" w:color="auto"/>
        <w:bottom w:val="none" w:sz="0" w:space="0" w:color="auto"/>
        <w:right w:val="none" w:sz="0" w:space="0" w:color="auto"/>
      </w:divBdr>
    </w:div>
    <w:div w:id="878082038">
      <w:bodyDiv w:val="1"/>
      <w:marLeft w:val="0"/>
      <w:marRight w:val="0"/>
      <w:marTop w:val="0"/>
      <w:marBottom w:val="0"/>
      <w:divBdr>
        <w:top w:val="none" w:sz="0" w:space="0" w:color="auto"/>
        <w:left w:val="none" w:sz="0" w:space="0" w:color="auto"/>
        <w:bottom w:val="none" w:sz="0" w:space="0" w:color="auto"/>
        <w:right w:val="none" w:sz="0" w:space="0" w:color="auto"/>
      </w:divBdr>
    </w:div>
    <w:div w:id="170100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NSF International</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NSF - Standards</dc:creator>
  <cp:lastModifiedBy>Williams, Steve</cp:lastModifiedBy>
  <cp:revision>5</cp:revision>
  <cp:lastPrinted>2012-11-14T16:07:00Z</cp:lastPrinted>
  <dcterms:created xsi:type="dcterms:W3CDTF">2023-04-11T19:35:00Z</dcterms:created>
  <dcterms:modified xsi:type="dcterms:W3CDTF">2023-04-12T18:34:00Z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b518dc-1afa-45e0-aaef-f556f62dbfcd_Enabled">
    <vt:lpwstr>true</vt:lpwstr>
  </property>
  <property fmtid="{D5CDD505-2E9C-101B-9397-08002B2CF9AE}" pid="3" name="MSIP_Label_26b518dc-1afa-45e0-aaef-f556f62dbfcd_SetDate">
    <vt:lpwstr>2023-04-12T18:34:24Z</vt:lpwstr>
  </property>
  <property fmtid="{D5CDD505-2E9C-101B-9397-08002B2CF9AE}" pid="4" name="MSIP_Label_26b518dc-1afa-45e0-aaef-f556f62dbfcd_Method">
    <vt:lpwstr>Standard</vt:lpwstr>
  </property>
  <property fmtid="{D5CDD505-2E9C-101B-9397-08002B2CF9AE}" pid="5" name="MSIP_Label_26b518dc-1afa-45e0-aaef-f556f62dbfcd_Name">
    <vt:lpwstr>All-Audiences_Confidential-PROD</vt:lpwstr>
  </property>
  <property fmtid="{D5CDD505-2E9C-101B-9397-08002B2CF9AE}" pid="6" name="MSIP_Label_26b518dc-1afa-45e0-aaef-f556f62dbfcd_SiteId">
    <vt:lpwstr>400696bb-3ef5-44ed-b838-ceb5afd17d90</vt:lpwstr>
  </property>
  <property fmtid="{D5CDD505-2E9C-101B-9397-08002B2CF9AE}" pid="7" name="MSIP_Label_26b518dc-1afa-45e0-aaef-f556f62dbfcd_ActionId">
    <vt:lpwstr>836a9963-29e4-4b50-9956-48a97391cf99</vt:lpwstr>
  </property>
  <property fmtid="{D5CDD505-2E9C-101B-9397-08002B2CF9AE}" pid="8" name="MSIP_Label_26b518dc-1afa-45e0-aaef-f556f62dbfcd_ContentBits">
    <vt:lpwstr>2</vt:lpwstr>
  </property>
</Properties>
</file>